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8F" w:rsidRPr="00626C86" w:rsidRDefault="003E6E8F" w:rsidP="00626C86">
      <w:pPr>
        <w:tabs>
          <w:tab w:val="left" w:pos="240"/>
        </w:tabs>
        <w:autoSpaceDE w:val="0"/>
        <w:autoSpaceDN w:val="0"/>
        <w:adjustRightInd w:val="0"/>
        <w:spacing w:after="0" w:line="480" w:lineRule="auto"/>
        <w:jc w:val="center"/>
        <w:rPr>
          <w:rFonts w:ascii="Times New Roman" w:hAnsi="Times New Roman" w:cs="Times New Roman"/>
          <w:b/>
          <w:bCs/>
          <w:sz w:val="24"/>
          <w:szCs w:val="24"/>
        </w:rPr>
      </w:pPr>
      <w:bookmarkStart w:id="0" w:name="_GoBack"/>
      <w:bookmarkEnd w:id="0"/>
      <w:r w:rsidRPr="00626C86">
        <w:rPr>
          <w:rFonts w:ascii="Times New Roman" w:hAnsi="Times New Roman" w:cs="Times New Roman"/>
          <w:b/>
          <w:bCs/>
          <w:sz w:val="24"/>
          <w:szCs w:val="24"/>
        </w:rPr>
        <w:t xml:space="preserve">International Programme </w:t>
      </w:r>
      <w:r w:rsidR="00C25C73" w:rsidRPr="00626C86">
        <w:rPr>
          <w:rFonts w:ascii="Times New Roman" w:hAnsi="Times New Roman" w:cs="Times New Roman"/>
          <w:b/>
          <w:bCs/>
          <w:sz w:val="24"/>
          <w:szCs w:val="24"/>
        </w:rPr>
        <w:t>in Banking</w:t>
      </w:r>
      <w:r w:rsidRPr="00626C86">
        <w:rPr>
          <w:rFonts w:ascii="Times New Roman" w:hAnsi="Times New Roman" w:cs="Times New Roman"/>
          <w:b/>
          <w:bCs/>
          <w:sz w:val="24"/>
          <w:szCs w:val="24"/>
        </w:rPr>
        <w:t xml:space="preserve"> and </w:t>
      </w:r>
      <w:r w:rsidR="00626C86" w:rsidRPr="00626C86">
        <w:rPr>
          <w:rFonts w:ascii="Times New Roman" w:hAnsi="Times New Roman" w:cs="Times New Roman"/>
          <w:b/>
          <w:bCs/>
          <w:sz w:val="24"/>
          <w:szCs w:val="24"/>
        </w:rPr>
        <w:t xml:space="preserve">Finance </w:t>
      </w:r>
      <w:r w:rsidRPr="00626C86">
        <w:rPr>
          <w:rFonts w:ascii="Times New Roman" w:hAnsi="Times New Roman" w:cs="Times New Roman"/>
          <w:b/>
          <w:bCs/>
          <w:sz w:val="24"/>
          <w:szCs w:val="24"/>
        </w:rPr>
        <w:br/>
        <w:t>(</w:t>
      </w:r>
      <w:r w:rsidRPr="00626C86">
        <w:rPr>
          <w:rFonts w:ascii="Times New Roman" w:hAnsi="Times New Roman" w:cs="Times New Roman"/>
          <w:b/>
          <w:bCs/>
          <w:i/>
          <w:iCs/>
          <w:sz w:val="24"/>
          <w:szCs w:val="24"/>
        </w:rPr>
        <w:t>Focus:</w:t>
      </w:r>
      <w:r w:rsidRPr="00626C86">
        <w:rPr>
          <w:rFonts w:ascii="Times New Roman" w:hAnsi="Times New Roman" w:cs="Times New Roman"/>
          <w:b/>
          <w:bCs/>
          <w:sz w:val="24"/>
          <w:szCs w:val="24"/>
        </w:rPr>
        <w:t xml:space="preserve"> </w:t>
      </w:r>
      <w:r w:rsidR="002C79EE" w:rsidRPr="00626C86">
        <w:rPr>
          <w:rFonts w:ascii="Times New Roman" w:hAnsi="Times New Roman" w:cs="Times New Roman"/>
          <w:b/>
          <w:bCs/>
          <w:i/>
          <w:iCs/>
          <w:sz w:val="24"/>
          <w:szCs w:val="24"/>
        </w:rPr>
        <w:t>Credit management</w:t>
      </w:r>
      <w:r w:rsidR="000F0350" w:rsidRPr="00626C86">
        <w:rPr>
          <w:rFonts w:ascii="Times New Roman" w:hAnsi="Times New Roman" w:cs="Times New Roman"/>
          <w:b/>
          <w:bCs/>
          <w:i/>
          <w:iCs/>
          <w:sz w:val="24"/>
          <w:szCs w:val="24"/>
        </w:rPr>
        <w:t xml:space="preserve"> and</w:t>
      </w:r>
      <w:r w:rsidR="002C79EE" w:rsidRPr="00626C86">
        <w:rPr>
          <w:rFonts w:ascii="Times New Roman" w:hAnsi="Times New Roman" w:cs="Times New Roman"/>
          <w:b/>
          <w:bCs/>
          <w:i/>
          <w:iCs/>
          <w:sz w:val="24"/>
          <w:szCs w:val="24"/>
        </w:rPr>
        <w:t xml:space="preserve"> International </w:t>
      </w:r>
      <w:r w:rsidR="000F0350" w:rsidRPr="00626C86">
        <w:rPr>
          <w:rFonts w:ascii="Times New Roman" w:hAnsi="Times New Roman" w:cs="Times New Roman"/>
          <w:b/>
          <w:bCs/>
          <w:i/>
          <w:iCs/>
          <w:sz w:val="24"/>
          <w:szCs w:val="24"/>
        </w:rPr>
        <w:t>trade financing</w:t>
      </w:r>
      <w:r w:rsidR="002C79EE" w:rsidRPr="00626C86">
        <w:rPr>
          <w:rFonts w:ascii="Times New Roman" w:hAnsi="Times New Roman" w:cs="Times New Roman"/>
          <w:b/>
          <w:bCs/>
          <w:i/>
          <w:iCs/>
          <w:sz w:val="24"/>
          <w:szCs w:val="24"/>
        </w:rPr>
        <w:t>)</w:t>
      </w:r>
    </w:p>
    <w:p w:rsidR="007B03C4" w:rsidRPr="00626C86" w:rsidRDefault="007B03C4" w:rsidP="00626C86">
      <w:pPr>
        <w:pStyle w:val="indent"/>
        <w:tabs>
          <w:tab w:val="clear" w:pos="340"/>
          <w:tab w:val="right" w:pos="2268"/>
          <w:tab w:val="left" w:pos="2494"/>
          <w:tab w:val="left" w:pos="2665"/>
        </w:tabs>
        <w:spacing w:after="0" w:line="480" w:lineRule="auto"/>
        <w:ind w:left="0" w:firstLine="0"/>
        <w:jc w:val="left"/>
        <w:rPr>
          <w:rFonts w:ascii="Times New Roman" w:hAnsi="Times New Roman" w:cs="Times New Roman"/>
          <w:sz w:val="24"/>
          <w:szCs w:val="24"/>
        </w:rPr>
      </w:pPr>
    </w:p>
    <w:p w:rsidR="003E6E8F" w:rsidRPr="00626C86" w:rsidRDefault="003E6E8F" w:rsidP="00626C86">
      <w:pPr>
        <w:pStyle w:val="indent"/>
        <w:tabs>
          <w:tab w:val="clear" w:pos="340"/>
          <w:tab w:val="right" w:pos="2268"/>
          <w:tab w:val="left" w:pos="2494"/>
          <w:tab w:val="left" w:pos="2665"/>
        </w:tabs>
        <w:spacing w:after="0" w:line="480" w:lineRule="auto"/>
        <w:ind w:left="0" w:firstLine="0"/>
        <w:jc w:val="left"/>
        <w:rPr>
          <w:rFonts w:ascii="Times New Roman" w:hAnsi="Times New Roman" w:cs="Times New Roman"/>
          <w:sz w:val="24"/>
          <w:szCs w:val="24"/>
        </w:rPr>
      </w:pPr>
      <w:r w:rsidRPr="00626C86">
        <w:rPr>
          <w:rFonts w:ascii="Times New Roman" w:hAnsi="Times New Roman" w:cs="Times New Roman"/>
          <w:sz w:val="24"/>
          <w:szCs w:val="24"/>
        </w:rPr>
        <w:t>Duration</w:t>
      </w:r>
      <w:r w:rsidRPr="00626C86">
        <w:rPr>
          <w:rFonts w:ascii="Times New Roman" w:hAnsi="Times New Roman" w:cs="Times New Roman"/>
          <w:sz w:val="24"/>
          <w:szCs w:val="24"/>
        </w:rPr>
        <w:tab/>
        <w:t>:</w:t>
      </w:r>
      <w:r w:rsidRPr="00626C86">
        <w:rPr>
          <w:rFonts w:ascii="Times New Roman" w:hAnsi="Times New Roman" w:cs="Times New Roman"/>
          <w:sz w:val="24"/>
          <w:szCs w:val="24"/>
        </w:rPr>
        <w:tab/>
      </w:r>
      <w:r w:rsidR="007B03C4" w:rsidRPr="00626C86">
        <w:rPr>
          <w:rFonts w:ascii="Times New Roman" w:hAnsi="Times New Roman" w:cs="Times New Roman"/>
          <w:sz w:val="24"/>
          <w:szCs w:val="24"/>
        </w:rPr>
        <w:tab/>
      </w:r>
      <w:r w:rsidR="007B03C4" w:rsidRPr="00626C86">
        <w:rPr>
          <w:rFonts w:ascii="Times New Roman" w:hAnsi="Times New Roman" w:cs="Times New Roman"/>
          <w:sz w:val="24"/>
          <w:szCs w:val="24"/>
        </w:rPr>
        <w:tab/>
      </w:r>
      <w:r w:rsidRPr="00626C86">
        <w:rPr>
          <w:rFonts w:ascii="Times New Roman" w:hAnsi="Times New Roman" w:cs="Times New Roman"/>
          <w:sz w:val="24"/>
          <w:szCs w:val="24"/>
        </w:rPr>
        <w:t>Two Weeks</w:t>
      </w:r>
    </w:p>
    <w:p w:rsidR="003E6E8F" w:rsidRPr="00626C86" w:rsidRDefault="003E6E8F" w:rsidP="00626C86">
      <w:pPr>
        <w:pStyle w:val="indent"/>
        <w:spacing w:after="0" w:line="480" w:lineRule="auto"/>
        <w:rPr>
          <w:rFonts w:ascii="Times New Roman" w:hAnsi="Times New Roman" w:cs="Times New Roman"/>
          <w:sz w:val="24"/>
          <w:szCs w:val="24"/>
        </w:rPr>
      </w:pPr>
      <w:r w:rsidRPr="00626C86">
        <w:rPr>
          <w:rFonts w:ascii="Times New Roman" w:hAnsi="Times New Roman" w:cs="Times New Roman"/>
          <w:sz w:val="24"/>
          <w:szCs w:val="24"/>
        </w:rPr>
        <w:t>Dates</w:t>
      </w:r>
      <w:r w:rsidRPr="00626C86">
        <w:rPr>
          <w:rFonts w:ascii="Times New Roman" w:hAnsi="Times New Roman" w:cs="Times New Roman"/>
          <w:sz w:val="24"/>
          <w:szCs w:val="24"/>
        </w:rPr>
        <w:tab/>
        <w:t>:</w:t>
      </w:r>
      <w:r w:rsidRPr="00626C86">
        <w:rPr>
          <w:rFonts w:ascii="Times New Roman" w:hAnsi="Times New Roman" w:cs="Times New Roman"/>
          <w:sz w:val="24"/>
          <w:szCs w:val="24"/>
        </w:rPr>
        <w:tab/>
      </w:r>
      <w:r w:rsidR="007B03C4" w:rsidRPr="00626C86">
        <w:rPr>
          <w:rFonts w:ascii="Times New Roman" w:hAnsi="Times New Roman" w:cs="Times New Roman"/>
          <w:sz w:val="24"/>
          <w:szCs w:val="24"/>
        </w:rPr>
        <w:tab/>
      </w:r>
      <w:r w:rsidR="007B03C4" w:rsidRPr="00626C86">
        <w:rPr>
          <w:rFonts w:ascii="Times New Roman" w:hAnsi="Times New Roman" w:cs="Times New Roman"/>
          <w:sz w:val="24"/>
          <w:szCs w:val="24"/>
        </w:rPr>
        <w:tab/>
      </w:r>
      <w:r w:rsidR="003D2A30" w:rsidRPr="00626C86">
        <w:rPr>
          <w:rFonts w:ascii="Times New Roman" w:hAnsi="Times New Roman" w:cs="Times New Roman"/>
          <w:sz w:val="24"/>
          <w:szCs w:val="24"/>
        </w:rPr>
        <w:t xml:space="preserve"> </w:t>
      </w:r>
      <w:r w:rsidR="00AE5471" w:rsidRPr="00626C86">
        <w:rPr>
          <w:rFonts w:ascii="Times New Roman" w:hAnsi="Times New Roman" w:cs="Times New Roman"/>
          <w:color w:val="000000"/>
          <w:sz w:val="24"/>
          <w:szCs w:val="24"/>
        </w:rPr>
        <w:t xml:space="preserve">March </w:t>
      </w:r>
      <w:r w:rsidR="00650F24">
        <w:rPr>
          <w:rFonts w:ascii="Times New Roman" w:hAnsi="Times New Roman" w:cs="Times New Roman"/>
          <w:color w:val="000000"/>
          <w:sz w:val="24"/>
          <w:szCs w:val="24"/>
        </w:rPr>
        <w:t>2</w:t>
      </w:r>
      <w:r w:rsidR="00AE5471" w:rsidRPr="00626C86">
        <w:rPr>
          <w:rFonts w:ascii="Times New Roman" w:hAnsi="Times New Roman" w:cs="Times New Roman"/>
          <w:color w:val="000000"/>
          <w:sz w:val="24"/>
          <w:szCs w:val="24"/>
        </w:rPr>
        <w:t xml:space="preserve"> – 1</w:t>
      </w:r>
      <w:r w:rsidR="00650F24">
        <w:rPr>
          <w:rFonts w:ascii="Times New Roman" w:hAnsi="Times New Roman" w:cs="Times New Roman"/>
          <w:color w:val="000000"/>
          <w:sz w:val="24"/>
          <w:szCs w:val="24"/>
        </w:rPr>
        <w:t>4</w:t>
      </w:r>
      <w:r w:rsidR="00AE5471" w:rsidRPr="00626C86">
        <w:rPr>
          <w:rFonts w:ascii="Times New Roman" w:hAnsi="Times New Roman" w:cs="Times New Roman"/>
          <w:color w:val="000000"/>
          <w:sz w:val="24"/>
          <w:szCs w:val="24"/>
        </w:rPr>
        <w:t>, 20</w:t>
      </w:r>
      <w:r w:rsidR="00650F24">
        <w:rPr>
          <w:rFonts w:ascii="Times New Roman" w:hAnsi="Times New Roman" w:cs="Times New Roman"/>
          <w:color w:val="000000"/>
          <w:sz w:val="24"/>
          <w:szCs w:val="24"/>
        </w:rPr>
        <w:t>20</w:t>
      </w:r>
    </w:p>
    <w:p w:rsidR="003E6E8F" w:rsidRPr="00626C86" w:rsidRDefault="003E6E8F" w:rsidP="00626C86">
      <w:pPr>
        <w:pStyle w:val="indent"/>
        <w:tabs>
          <w:tab w:val="clear" w:pos="340"/>
          <w:tab w:val="right" w:pos="2268"/>
          <w:tab w:val="left" w:pos="2494"/>
          <w:tab w:val="left" w:pos="2665"/>
        </w:tabs>
        <w:spacing w:after="0" w:line="480" w:lineRule="auto"/>
        <w:ind w:left="0" w:firstLine="0"/>
        <w:jc w:val="left"/>
        <w:rPr>
          <w:rFonts w:ascii="Times New Roman" w:hAnsi="Times New Roman" w:cs="Times New Roman"/>
          <w:sz w:val="24"/>
          <w:szCs w:val="24"/>
        </w:rPr>
      </w:pPr>
      <w:r w:rsidRPr="00626C86">
        <w:rPr>
          <w:rFonts w:ascii="Times New Roman" w:hAnsi="Times New Roman" w:cs="Times New Roman"/>
          <w:sz w:val="24"/>
          <w:szCs w:val="24"/>
        </w:rPr>
        <w:t>Level of Participation</w:t>
      </w:r>
      <w:r w:rsidRPr="00626C86">
        <w:rPr>
          <w:rFonts w:ascii="Times New Roman" w:hAnsi="Times New Roman" w:cs="Times New Roman"/>
          <w:sz w:val="24"/>
          <w:szCs w:val="24"/>
        </w:rPr>
        <w:tab/>
        <w:t>:</w:t>
      </w:r>
      <w:r w:rsidRPr="00626C86">
        <w:rPr>
          <w:rFonts w:ascii="Times New Roman" w:hAnsi="Times New Roman" w:cs="Times New Roman"/>
          <w:sz w:val="24"/>
          <w:szCs w:val="24"/>
        </w:rPr>
        <w:tab/>
      </w:r>
      <w:r w:rsidR="007B03C4" w:rsidRPr="00626C86">
        <w:rPr>
          <w:rFonts w:ascii="Times New Roman" w:hAnsi="Times New Roman" w:cs="Times New Roman"/>
          <w:sz w:val="24"/>
          <w:szCs w:val="24"/>
        </w:rPr>
        <w:tab/>
      </w:r>
      <w:r w:rsidR="007B03C4" w:rsidRPr="00626C86">
        <w:rPr>
          <w:rFonts w:ascii="Times New Roman" w:hAnsi="Times New Roman" w:cs="Times New Roman"/>
          <w:sz w:val="24"/>
          <w:szCs w:val="24"/>
        </w:rPr>
        <w:tab/>
      </w:r>
      <w:r w:rsidRPr="00626C86">
        <w:rPr>
          <w:rFonts w:ascii="Times New Roman" w:hAnsi="Times New Roman" w:cs="Times New Roman"/>
          <w:sz w:val="24"/>
          <w:szCs w:val="24"/>
        </w:rPr>
        <w:t>Senior and Middle Management</w:t>
      </w:r>
    </w:p>
    <w:p w:rsidR="002E1F64" w:rsidRPr="00626C86" w:rsidRDefault="003E6E8F" w:rsidP="00626C86">
      <w:pPr>
        <w:spacing w:after="0" w:line="480" w:lineRule="auto"/>
        <w:rPr>
          <w:rFonts w:ascii="Times New Roman" w:hAnsi="Times New Roman" w:cs="Times New Roman"/>
          <w:sz w:val="24"/>
          <w:szCs w:val="24"/>
        </w:rPr>
      </w:pPr>
      <w:r w:rsidRPr="00626C86">
        <w:rPr>
          <w:rFonts w:ascii="Times New Roman" w:hAnsi="Times New Roman" w:cs="Times New Roman"/>
          <w:bCs/>
          <w:i/>
          <w:iCs/>
          <w:sz w:val="24"/>
          <w:szCs w:val="24"/>
        </w:rPr>
        <w:t>Coordinators</w:t>
      </w:r>
      <w:r w:rsidR="007B03C4" w:rsidRPr="00626C86">
        <w:rPr>
          <w:rFonts w:ascii="Times New Roman" w:hAnsi="Times New Roman" w:cs="Times New Roman"/>
          <w:bCs/>
          <w:i/>
          <w:iCs/>
          <w:sz w:val="24"/>
          <w:szCs w:val="24"/>
        </w:rPr>
        <w:tab/>
      </w:r>
      <w:r w:rsidRPr="00626C86">
        <w:rPr>
          <w:rFonts w:ascii="Times New Roman" w:hAnsi="Times New Roman" w:cs="Times New Roman"/>
          <w:bCs/>
          <w:i/>
          <w:iCs/>
          <w:sz w:val="24"/>
          <w:szCs w:val="24"/>
        </w:rPr>
        <w:tab/>
      </w:r>
      <w:r w:rsidR="007B03C4" w:rsidRPr="00626C86">
        <w:rPr>
          <w:rFonts w:ascii="Times New Roman" w:hAnsi="Times New Roman" w:cs="Times New Roman"/>
          <w:bCs/>
          <w:sz w:val="24"/>
          <w:szCs w:val="24"/>
        </w:rPr>
        <w:t>:</w:t>
      </w:r>
      <w:r w:rsidR="007B03C4" w:rsidRPr="00626C86">
        <w:rPr>
          <w:rFonts w:ascii="Times New Roman" w:hAnsi="Times New Roman" w:cs="Times New Roman"/>
          <w:bCs/>
          <w:sz w:val="24"/>
          <w:szCs w:val="24"/>
        </w:rPr>
        <w:tab/>
      </w:r>
      <w:r w:rsidR="00F55F35" w:rsidRPr="00626C86">
        <w:rPr>
          <w:rFonts w:ascii="Times New Roman" w:hAnsi="Times New Roman" w:cs="Times New Roman"/>
          <w:bCs/>
          <w:sz w:val="24"/>
          <w:szCs w:val="24"/>
        </w:rPr>
        <w:t xml:space="preserve">Dr Smita Roy Trivedi &amp; </w:t>
      </w:r>
      <w:r w:rsidR="002C79EE" w:rsidRPr="00626C86">
        <w:rPr>
          <w:rFonts w:ascii="Times New Roman" w:hAnsi="Times New Roman" w:cs="Times New Roman"/>
          <w:sz w:val="24"/>
          <w:szCs w:val="24"/>
        </w:rPr>
        <w:t>Dr. Elizabeth James</w:t>
      </w:r>
    </w:p>
    <w:p w:rsidR="003779CF" w:rsidRPr="00626C86" w:rsidRDefault="003779CF" w:rsidP="003779CF">
      <w:pPr>
        <w:autoSpaceDE w:val="0"/>
        <w:autoSpaceDN w:val="0"/>
        <w:adjustRightInd w:val="0"/>
        <w:spacing w:after="0" w:line="240" w:lineRule="auto"/>
        <w:jc w:val="both"/>
        <w:rPr>
          <w:rFonts w:ascii="Times New Roman" w:hAnsi="Times New Roman" w:cs="Times New Roman"/>
          <w:sz w:val="24"/>
          <w:szCs w:val="24"/>
        </w:rPr>
      </w:pPr>
    </w:p>
    <w:p w:rsidR="001E3AD6" w:rsidRPr="00626C86" w:rsidRDefault="00A5468C" w:rsidP="00626C86">
      <w:pPr>
        <w:spacing w:after="0" w:line="360" w:lineRule="auto"/>
        <w:jc w:val="both"/>
        <w:rPr>
          <w:rFonts w:ascii="Times New Roman" w:eastAsia="Times New Roman" w:hAnsi="Times New Roman" w:cs="Times New Roman"/>
          <w:sz w:val="24"/>
          <w:szCs w:val="24"/>
          <w:lang w:bidi="bn-IN"/>
        </w:rPr>
      </w:pPr>
      <w:r w:rsidRPr="00A5468C">
        <w:rPr>
          <w:rFonts w:ascii="Times New Roman" w:eastAsia="Times New Roman" w:hAnsi="Times New Roman" w:cs="Times New Roman"/>
          <w:sz w:val="24"/>
          <w:szCs w:val="24"/>
          <w:lang w:bidi="bn-IN"/>
        </w:rPr>
        <w:t>After reaching 3.1 percent in both 2017 and 2018, global growth is expected to decelerate over the next two years</w:t>
      </w:r>
      <w:r w:rsidR="006816EB" w:rsidRPr="00626C86">
        <w:rPr>
          <w:rFonts w:ascii="Times New Roman" w:eastAsia="Times New Roman" w:hAnsi="Times New Roman" w:cs="Times New Roman"/>
          <w:sz w:val="24"/>
          <w:szCs w:val="24"/>
          <w:lang w:bidi="bn-IN"/>
        </w:rPr>
        <w:t>.</w:t>
      </w:r>
      <w:r w:rsidR="00F60C47">
        <w:rPr>
          <w:rFonts w:ascii="Times New Roman" w:eastAsia="Times New Roman" w:hAnsi="Times New Roman" w:cs="Times New Roman"/>
          <w:sz w:val="24"/>
          <w:szCs w:val="24"/>
          <w:lang w:bidi="bn-IN"/>
        </w:rPr>
        <w:t xml:space="preserve"> </w:t>
      </w:r>
      <w:r w:rsidR="00F60C47" w:rsidRPr="00F60C47">
        <w:rPr>
          <w:rFonts w:ascii="Times New Roman" w:eastAsia="Times New Roman" w:hAnsi="Times New Roman" w:cs="Times New Roman"/>
          <w:sz w:val="24"/>
          <w:szCs w:val="24"/>
          <w:lang w:bidi="bn-IN"/>
        </w:rPr>
        <w:t>Amid moderating international trade and tightening global financing conditions, growth in emerging market and developing economies (EMDEs) is projected to plateau, reaching 4.7 percent in 2019 and 2020, up from 4.5 percent in 2018.</w:t>
      </w:r>
      <w:r w:rsidR="006816EB" w:rsidRPr="00626C86">
        <w:rPr>
          <w:rFonts w:ascii="Times New Roman" w:eastAsia="Times New Roman" w:hAnsi="Times New Roman" w:cs="Times New Roman"/>
          <w:sz w:val="24"/>
          <w:szCs w:val="24"/>
          <w:lang w:bidi="bn-IN"/>
        </w:rPr>
        <w:t xml:space="preserve"> </w:t>
      </w:r>
      <w:r w:rsidR="00626C86">
        <w:rPr>
          <w:rFonts w:ascii="Times New Roman" w:eastAsia="Times New Roman" w:hAnsi="Times New Roman" w:cs="Times New Roman"/>
          <w:sz w:val="24"/>
          <w:szCs w:val="24"/>
          <w:lang w:bidi="bn-IN"/>
        </w:rPr>
        <w:t>However, c</w:t>
      </w:r>
      <w:r w:rsidR="002C79EE" w:rsidRPr="00626C86">
        <w:rPr>
          <w:rFonts w:ascii="Times New Roman" w:eastAsia="Times New Roman" w:hAnsi="Times New Roman" w:cs="Times New Roman"/>
          <w:sz w:val="24"/>
          <w:szCs w:val="24"/>
          <w:lang w:bidi="bn-IN"/>
        </w:rPr>
        <w:t xml:space="preserve">redit growth </w:t>
      </w:r>
      <w:r w:rsidR="00626C86">
        <w:rPr>
          <w:rFonts w:ascii="Times New Roman" w:eastAsia="Times New Roman" w:hAnsi="Times New Roman" w:cs="Times New Roman"/>
          <w:sz w:val="24"/>
          <w:szCs w:val="24"/>
          <w:lang w:bidi="bn-IN"/>
        </w:rPr>
        <w:t>remains</w:t>
      </w:r>
      <w:r w:rsidR="002C79EE" w:rsidRPr="00626C86">
        <w:rPr>
          <w:rFonts w:ascii="Times New Roman" w:eastAsia="Times New Roman" w:hAnsi="Times New Roman" w:cs="Times New Roman"/>
          <w:sz w:val="24"/>
          <w:szCs w:val="24"/>
          <w:lang w:bidi="bn-IN"/>
        </w:rPr>
        <w:t xml:space="preserve"> curtailed not only on account of </w:t>
      </w:r>
      <w:r w:rsidR="00626C86">
        <w:rPr>
          <w:rFonts w:ascii="Times New Roman" w:eastAsia="Times New Roman" w:hAnsi="Times New Roman" w:cs="Times New Roman"/>
          <w:sz w:val="24"/>
          <w:szCs w:val="24"/>
          <w:lang w:bidi="bn-IN"/>
        </w:rPr>
        <w:t>slow economic recovery</w:t>
      </w:r>
      <w:r w:rsidR="002C79EE" w:rsidRPr="00626C86">
        <w:rPr>
          <w:rFonts w:ascii="Times New Roman" w:eastAsia="Times New Roman" w:hAnsi="Times New Roman" w:cs="Times New Roman"/>
          <w:sz w:val="24"/>
          <w:szCs w:val="24"/>
          <w:lang w:bidi="bn-IN"/>
        </w:rPr>
        <w:t xml:space="preserve"> but also because of the growth of non-performing assets</w:t>
      </w:r>
      <w:r w:rsidR="00626C86">
        <w:rPr>
          <w:rFonts w:ascii="Times New Roman" w:eastAsia="Times New Roman" w:hAnsi="Times New Roman" w:cs="Times New Roman"/>
          <w:sz w:val="24"/>
          <w:szCs w:val="24"/>
          <w:lang w:bidi="bn-IN"/>
        </w:rPr>
        <w:t xml:space="preserve"> in the aftermath of the downturn</w:t>
      </w:r>
      <w:r w:rsidR="002C79EE" w:rsidRPr="00626C86">
        <w:rPr>
          <w:rFonts w:ascii="Times New Roman" w:eastAsia="Times New Roman" w:hAnsi="Times New Roman" w:cs="Times New Roman"/>
          <w:sz w:val="24"/>
          <w:szCs w:val="24"/>
          <w:lang w:bidi="bn-IN"/>
        </w:rPr>
        <w:t xml:space="preserve">. </w:t>
      </w:r>
      <w:r w:rsidR="001E3AD6" w:rsidRPr="00626C86">
        <w:rPr>
          <w:rFonts w:ascii="Times New Roman" w:eastAsia="Times New Roman" w:hAnsi="Times New Roman" w:cs="Times New Roman"/>
          <w:sz w:val="24"/>
          <w:szCs w:val="24"/>
          <w:lang w:bidi="bn-IN"/>
        </w:rPr>
        <w:t xml:space="preserve">Financing of international trade has been equally stressed in this scenario of lackluster global demand and heightened risk perceptions. Banks and financial institutions have an important role to play </w:t>
      </w:r>
      <w:r w:rsidR="00AE5471" w:rsidRPr="00626C86">
        <w:rPr>
          <w:rFonts w:ascii="Times New Roman" w:eastAsia="Times New Roman" w:hAnsi="Times New Roman" w:cs="Times New Roman"/>
          <w:sz w:val="24"/>
          <w:szCs w:val="24"/>
          <w:lang w:bidi="bn-IN"/>
        </w:rPr>
        <w:t xml:space="preserve">in this context </w:t>
      </w:r>
      <w:r w:rsidR="001E3AD6" w:rsidRPr="00626C86">
        <w:rPr>
          <w:rFonts w:ascii="Times New Roman" w:eastAsia="Times New Roman" w:hAnsi="Times New Roman" w:cs="Times New Roman"/>
          <w:sz w:val="24"/>
          <w:szCs w:val="24"/>
          <w:lang w:bidi="bn-IN"/>
        </w:rPr>
        <w:t xml:space="preserve">to support the endeavors of enterprises by strengthening the provision and delivery of credit and trade finance services.  </w:t>
      </w:r>
    </w:p>
    <w:p w:rsidR="00BC46B7" w:rsidRPr="00626C86" w:rsidRDefault="000F0350" w:rsidP="00626C86">
      <w:pPr>
        <w:spacing w:after="0" w:line="360" w:lineRule="auto"/>
        <w:jc w:val="both"/>
        <w:rPr>
          <w:rFonts w:ascii="Times New Roman" w:eastAsia="Times New Roman" w:hAnsi="Times New Roman" w:cs="Times New Roman"/>
          <w:sz w:val="24"/>
          <w:szCs w:val="24"/>
          <w:lang w:bidi="bn-IN"/>
        </w:rPr>
      </w:pPr>
      <w:r w:rsidRPr="00626C86">
        <w:rPr>
          <w:rFonts w:ascii="Times New Roman" w:eastAsia="Times New Roman" w:hAnsi="Times New Roman" w:cs="Times New Roman"/>
          <w:sz w:val="24"/>
          <w:szCs w:val="24"/>
          <w:lang w:bidi="bn-IN"/>
        </w:rPr>
        <w:t xml:space="preserve">In this context the Institute is offering this programmes to enable executives </w:t>
      </w:r>
      <w:r w:rsidR="00626C86">
        <w:rPr>
          <w:rFonts w:ascii="Times New Roman" w:eastAsia="Times New Roman" w:hAnsi="Times New Roman" w:cs="Times New Roman"/>
          <w:sz w:val="24"/>
          <w:szCs w:val="24"/>
          <w:lang w:bidi="bn-IN"/>
        </w:rPr>
        <w:t xml:space="preserve">of banks and financial institutions </w:t>
      </w:r>
      <w:r w:rsidRPr="00626C86">
        <w:rPr>
          <w:rFonts w:ascii="Times New Roman" w:eastAsia="Times New Roman" w:hAnsi="Times New Roman" w:cs="Times New Roman"/>
          <w:sz w:val="24"/>
          <w:szCs w:val="24"/>
          <w:lang w:bidi="bn-IN"/>
        </w:rPr>
        <w:t xml:space="preserve">to effectively provide credit </w:t>
      </w:r>
      <w:r w:rsidR="00AE5471" w:rsidRPr="00626C86">
        <w:rPr>
          <w:rFonts w:ascii="Times New Roman" w:eastAsia="Times New Roman" w:hAnsi="Times New Roman" w:cs="Times New Roman"/>
          <w:sz w:val="24"/>
          <w:szCs w:val="24"/>
          <w:lang w:bidi="bn-IN"/>
        </w:rPr>
        <w:t xml:space="preserve">and </w:t>
      </w:r>
      <w:r w:rsidRPr="00626C86">
        <w:rPr>
          <w:rFonts w:ascii="Times New Roman" w:eastAsia="Times New Roman" w:hAnsi="Times New Roman" w:cs="Times New Roman"/>
          <w:sz w:val="24"/>
          <w:szCs w:val="24"/>
          <w:lang w:bidi="bn-IN"/>
        </w:rPr>
        <w:t>trade financing services to clients. The programme will focus on developing skills for</w:t>
      </w:r>
      <w:r w:rsidR="002C79EE" w:rsidRPr="00626C86">
        <w:rPr>
          <w:rFonts w:ascii="Times New Roman" w:eastAsia="Times New Roman" w:hAnsi="Times New Roman" w:cs="Times New Roman"/>
          <w:sz w:val="24"/>
          <w:szCs w:val="24"/>
          <w:lang w:bidi="bn-IN"/>
        </w:rPr>
        <w:t xml:space="preserve"> rigorous credit </w:t>
      </w:r>
      <w:r w:rsidR="00626C86">
        <w:rPr>
          <w:rFonts w:ascii="Times New Roman" w:eastAsia="Times New Roman" w:hAnsi="Times New Roman" w:cs="Times New Roman"/>
          <w:sz w:val="24"/>
          <w:szCs w:val="24"/>
          <w:lang w:bidi="bn-IN"/>
        </w:rPr>
        <w:t>appraisal,</w:t>
      </w:r>
      <w:r w:rsidR="002C79EE" w:rsidRPr="00626C86">
        <w:rPr>
          <w:rFonts w:ascii="Times New Roman" w:eastAsia="Times New Roman" w:hAnsi="Times New Roman" w:cs="Times New Roman"/>
          <w:sz w:val="24"/>
          <w:szCs w:val="24"/>
          <w:lang w:bidi="bn-IN"/>
        </w:rPr>
        <w:t xml:space="preserve"> </w:t>
      </w:r>
      <w:r w:rsidR="00626C86">
        <w:rPr>
          <w:rFonts w:ascii="Times New Roman" w:eastAsia="Times New Roman" w:hAnsi="Times New Roman" w:cs="Times New Roman"/>
          <w:sz w:val="24"/>
          <w:szCs w:val="24"/>
          <w:lang w:bidi="bn-IN"/>
        </w:rPr>
        <w:t xml:space="preserve">effective credit monitoring and NPA management. </w:t>
      </w:r>
      <w:r w:rsidR="00AE5471" w:rsidRPr="00626C86">
        <w:rPr>
          <w:rFonts w:ascii="Times New Roman" w:eastAsia="Times New Roman" w:hAnsi="Times New Roman" w:cs="Times New Roman"/>
          <w:sz w:val="24"/>
          <w:szCs w:val="24"/>
          <w:lang w:bidi="bn-IN"/>
        </w:rPr>
        <w:t>This will be supplemented by</w:t>
      </w:r>
      <w:r w:rsidRPr="00626C86">
        <w:rPr>
          <w:rFonts w:ascii="Times New Roman" w:eastAsia="Times New Roman" w:hAnsi="Times New Roman" w:cs="Times New Roman"/>
          <w:sz w:val="24"/>
          <w:szCs w:val="24"/>
          <w:lang w:bidi="bn-IN"/>
        </w:rPr>
        <w:t xml:space="preserve"> a </w:t>
      </w:r>
      <w:r w:rsidRPr="00626C86">
        <w:rPr>
          <w:rFonts w:ascii="Times New Roman" w:hAnsi="Times New Roman" w:cs="Times New Roman"/>
          <w:sz w:val="24"/>
          <w:szCs w:val="24"/>
        </w:rPr>
        <w:t>comprehensive knowledge and operational guidelines on mechanisms of financing of imports and exports</w:t>
      </w:r>
      <w:r w:rsidR="00687BDB" w:rsidRPr="00626C86">
        <w:rPr>
          <w:rFonts w:ascii="Times New Roman" w:hAnsi="Times New Roman" w:cs="Times New Roman"/>
          <w:sz w:val="24"/>
          <w:szCs w:val="24"/>
        </w:rPr>
        <w:t>.</w:t>
      </w:r>
      <w:r w:rsidRPr="00626C86">
        <w:rPr>
          <w:rFonts w:ascii="Times New Roman" w:hAnsi="Times New Roman" w:cs="Times New Roman"/>
          <w:sz w:val="24"/>
          <w:szCs w:val="24"/>
        </w:rPr>
        <w:fldChar w:fldCharType="begin"/>
      </w:r>
      <w:r w:rsidRPr="00626C86">
        <w:rPr>
          <w:rFonts w:ascii="Times New Roman" w:hAnsi="Times New Roman" w:cs="Times New Roman"/>
          <w:sz w:val="24"/>
          <w:szCs w:val="24"/>
        </w:rPr>
        <w:instrText>tc "</w:instrText>
      </w:r>
      <w:r w:rsidRPr="00626C86">
        <w:rPr>
          <w:rFonts w:ascii="Times New Roman" w:hAnsi="Times New Roman" w:cs="Times New Roman"/>
          <w:sz w:val="24"/>
          <w:szCs w:val="24"/>
        </w:rPr>
        <w:instrText></w:instrText>
      </w:r>
      <w:r w:rsidRPr="00626C86">
        <w:rPr>
          <w:rFonts w:ascii="Times New Roman" w:hAnsi="Times New Roman" w:cs="Times New Roman"/>
          <w:sz w:val="24"/>
          <w:szCs w:val="24"/>
        </w:rPr>
        <w:tab/>
        <w:instrText>Mechanisms of financing of imports and exports"</w:instrText>
      </w:r>
      <w:r w:rsidRPr="00626C86">
        <w:rPr>
          <w:rFonts w:ascii="Times New Roman" w:hAnsi="Times New Roman" w:cs="Times New Roman"/>
          <w:sz w:val="24"/>
          <w:szCs w:val="24"/>
        </w:rPr>
        <w:fldChar w:fldCharType="end"/>
      </w:r>
    </w:p>
    <w:p w:rsidR="003E6E8F" w:rsidRPr="00626C86" w:rsidRDefault="003E6E8F" w:rsidP="00626C86">
      <w:pPr>
        <w:pStyle w:val="head"/>
        <w:spacing w:before="0" w:after="0" w:line="360" w:lineRule="auto"/>
        <w:jc w:val="both"/>
        <w:rPr>
          <w:rFonts w:ascii="Times New Roman" w:hAnsi="Times New Roman" w:cs="Times New Roman"/>
        </w:rPr>
      </w:pPr>
      <w:r w:rsidRPr="00626C86">
        <w:rPr>
          <w:rFonts w:ascii="Times New Roman" w:hAnsi="Times New Roman" w:cs="Times New Roman"/>
        </w:rPr>
        <w:t>Pedagogy</w:t>
      </w:r>
    </w:p>
    <w:p w:rsidR="00995680" w:rsidRPr="00626C86" w:rsidRDefault="00995680" w:rsidP="00626C86">
      <w:pPr>
        <w:pStyle w:val="BodyText"/>
        <w:spacing w:after="0" w:line="360" w:lineRule="auto"/>
        <w:jc w:val="both"/>
        <w:rPr>
          <w:rFonts w:ascii="Times New Roman" w:hAnsi="Times New Roman" w:cs="Times New Roman"/>
          <w:sz w:val="24"/>
          <w:szCs w:val="24"/>
        </w:rPr>
      </w:pPr>
      <w:r w:rsidRPr="00626C86">
        <w:rPr>
          <w:rFonts w:ascii="Times New Roman" w:hAnsi="Times New Roman" w:cs="Times New Roman"/>
          <w:sz w:val="24"/>
          <w:szCs w:val="24"/>
        </w:rPr>
        <w:t>Lectures, case studies and</w:t>
      </w:r>
      <w:r w:rsidR="003E6E8F" w:rsidRPr="00626C86">
        <w:rPr>
          <w:rFonts w:ascii="Times New Roman" w:hAnsi="Times New Roman" w:cs="Times New Roman"/>
          <w:sz w:val="24"/>
          <w:szCs w:val="24"/>
        </w:rPr>
        <w:t xml:space="preserve"> discussions will be employed to make the programme highly participative in nature.</w:t>
      </w:r>
    </w:p>
    <w:p w:rsidR="003E6E8F" w:rsidRPr="00626C86" w:rsidRDefault="003E6E8F" w:rsidP="00626C86">
      <w:pPr>
        <w:pStyle w:val="head"/>
        <w:spacing w:before="0" w:after="0" w:line="360" w:lineRule="auto"/>
        <w:jc w:val="both"/>
        <w:rPr>
          <w:rFonts w:ascii="Times New Roman" w:hAnsi="Times New Roman" w:cs="Times New Roman"/>
        </w:rPr>
      </w:pPr>
      <w:r w:rsidRPr="00626C86">
        <w:rPr>
          <w:rFonts w:ascii="Times New Roman" w:hAnsi="Times New Roman" w:cs="Times New Roman"/>
        </w:rPr>
        <w:t>Faculty</w:t>
      </w:r>
    </w:p>
    <w:p w:rsidR="00626C86" w:rsidRPr="00626C86" w:rsidRDefault="00995680" w:rsidP="00626C86">
      <w:pPr>
        <w:pStyle w:val="BodyText"/>
        <w:spacing w:after="0" w:line="360" w:lineRule="auto"/>
        <w:jc w:val="both"/>
        <w:rPr>
          <w:rFonts w:ascii="Times New Roman" w:hAnsi="Times New Roman" w:cs="Times New Roman"/>
          <w:sz w:val="24"/>
          <w:szCs w:val="24"/>
        </w:rPr>
      </w:pPr>
      <w:r w:rsidRPr="00626C86">
        <w:rPr>
          <w:rFonts w:ascii="Times New Roman" w:hAnsi="Times New Roman" w:cs="Times New Roman"/>
          <w:sz w:val="24"/>
          <w:szCs w:val="24"/>
        </w:rPr>
        <w:t>NIBM Faculty, Senior executives from Banks, FIs and Central Bank</w:t>
      </w:r>
    </w:p>
    <w:p w:rsidR="003E6E8F" w:rsidRPr="00626C86" w:rsidRDefault="003E6E8F" w:rsidP="00626C86">
      <w:pPr>
        <w:pStyle w:val="indent"/>
        <w:spacing w:after="0" w:line="360" w:lineRule="auto"/>
        <w:ind w:left="0"/>
        <w:rPr>
          <w:rFonts w:ascii="Times New Roman" w:hAnsi="Times New Roman" w:cs="Times New Roman"/>
          <w:sz w:val="24"/>
          <w:szCs w:val="24"/>
        </w:rPr>
      </w:pPr>
      <w:r w:rsidRPr="00626C86">
        <w:rPr>
          <w:rFonts w:ascii="Times New Roman" w:hAnsi="Times New Roman" w:cs="Times New Roman"/>
          <w:sz w:val="24"/>
          <w:szCs w:val="24"/>
        </w:rPr>
        <w:t>.</w:t>
      </w:r>
      <w:r w:rsidR="00626C86">
        <w:rPr>
          <w:rFonts w:ascii="Times New Roman" w:hAnsi="Times New Roman" w:cs="Times New Roman"/>
          <w:sz w:val="24"/>
          <w:szCs w:val="24"/>
        </w:rPr>
        <w:t xml:space="preserve">    </w:t>
      </w:r>
      <w:r w:rsidRPr="00626C86">
        <w:rPr>
          <w:rFonts w:ascii="Times New Roman" w:hAnsi="Times New Roman" w:cs="Times New Roman"/>
          <w:b/>
          <w:bCs/>
          <w:sz w:val="24"/>
          <w:szCs w:val="24"/>
        </w:rPr>
        <w:t>Course Contents</w:t>
      </w:r>
    </w:p>
    <w:p w:rsidR="000F0350" w:rsidRPr="00626C86" w:rsidRDefault="000F0350" w:rsidP="00626C86">
      <w:pPr>
        <w:spacing w:after="0" w:line="360" w:lineRule="auto"/>
        <w:rPr>
          <w:rFonts w:ascii="Times New Roman" w:hAnsi="Times New Roman" w:cs="Times New Roman"/>
          <w:b/>
          <w:bCs/>
          <w:sz w:val="24"/>
          <w:szCs w:val="24"/>
        </w:rPr>
      </w:pPr>
      <w:r w:rsidRPr="00626C86">
        <w:rPr>
          <w:rFonts w:ascii="Times New Roman" w:hAnsi="Times New Roman" w:cs="Times New Roman"/>
          <w:b/>
          <w:bCs/>
          <w:sz w:val="24"/>
          <w:szCs w:val="24"/>
        </w:rPr>
        <w:t>I. Credit management</w:t>
      </w:r>
    </w:p>
    <w:p w:rsidR="002C79EE" w:rsidRPr="00626C86" w:rsidRDefault="002C79EE" w:rsidP="00626C86">
      <w:pPr>
        <w:pStyle w:val="ListParagraph"/>
        <w:numPr>
          <w:ilvl w:val="0"/>
          <w:numId w:val="2"/>
        </w:numPr>
        <w:spacing w:line="360" w:lineRule="auto"/>
        <w:ind w:left="0"/>
        <w:rPr>
          <w:bCs/>
        </w:rPr>
      </w:pPr>
      <w:r w:rsidRPr="00626C86">
        <w:rPr>
          <w:bCs/>
        </w:rPr>
        <w:t>Business Environment and Strategy Analysis: Understanding companies business decisions, scrutiny of company's competitive strategy for product mix and cost structure</w:t>
      </w:r>
    </w:p>
    <w:p w:rsidR="002C79EE" w:rsidRPr="00626C86" w:rsidRDefault="002C79EE" w:rsidP="00626C86">
      <w:pPr>
        <w:pStyle w:val="ListParagraph"/>
        <w:numPr>
          <w:ilvl w:val="0"/>
          <w:numId w:val="2"/>
        </w:numPr>
        <w:spacing w:line="360" w:lineRule="auto"/>
        <w:ind w:left="0"/>
        <w:rPr>
          <w:bCs/>
        </w:rPr>
      </w:pPr>
      <w:r w:rsidRPr="00626C86">
        <w:rPr>
          <w:bCs/>
        </w:rPr>
        <w:lastRenderedPageBreak/>
        <w:t>Economic Analysis</w:t>
      </w:r>
      <w:r w:rsidR="001E3AD6" w:rsidRPr="00626C86">
        <w:rPr>
          <w:bCs/>
        </w:rPr>
        <w:t xml:space="preserve"> and </w:t>
      </w:r>
      <w:r w:rsidRPr="00626C86">
        <w:rPr>
          <w:bCs/>
        </w:rPr>
        <w:t>Industry Analysis: Impact of the prospects and structure of the indu</w:t>
      </w:r>
      <w:r w:rsidR="00626C86">
        <w:rPr>
          <w:bCs/>
        </w:rPr>
        <w:t>stry on company's profitability</w:t>
      </w:r>
    </w:p>
    <w:p w:rsidR="002C79EE" w:rsidRPr="00626C86" w:rsidRDefault="002C79EE" w:rsidP="00626C86">
      <w:pPr>
        <w:pStyle w:val="ListParagraph"/>
        <w:numPr>
          <w:ilvl w:val="0"/>
          <w:numId w:val="2"/>
        </w:numPr>
        <w:spacing w:line="360" w:lineRule="auto"/>
        <w:ind w:left="0"/>
        <w:rPr>
          <w:bCs/>
        </w:rPr>
      </w:pPr>
      <w:r w:rsidRPr="00626C86">
        <w:rPr>
          <w:bCs/>
        </w:rPr>
        <w:t xml:space="preserve">Financial Statements Analysis: Common Size Statements, Trend Analysis, Ratio </w:t>
      </w:r>
      <w:r w:rsidR="00626C86">
        <w:rPr>
          <w:bCs/>
        </w:rPr>
        <w:t>Analysis and Cash Flow Analysis</w:t>
      </w:r>
    </w:p>
    <w:p w:rsidR="002C79EE" w:rsidRPr="00626C86" w:rsidRDefault="002C79EE" w:rsidP="00626C86">
      <w:pPr>
        <w:pStyle w:val="ListParagraph"/>
        <w:numPr>
          <w:ilvl w:val="0"/>
          <w:numId w:val="2"/>
        </w:numPr>
        <w:spacing w:line="360" w:lineRule="auto"/>
        <w:ind w:left="0"/>
        <w:rPr>
          <w:bCs/>
        </w:rPr>
      </w:pPr>
      <w:r w:rsidRPr="00626C86">
        <w:rPr>
          <w:bCs/>
        </w:rPr>
        <w:t>Credit Appraisal and assessment of working capital and term loan requirements under various segments: Corporates, SME, under both Manufacturing and Services Enterprises, Agro-P</w:t>
      </w:r>
      <w:r w:rsidR="00626C86">
        <w:rPr>
          <w:bCs/>
        </w:rPr>
        <w:t>roject and emerging new sectors</w:t>
      </w:r>
    </w:p>
    <w:p w:rsidR="002C79EE" w:rsidRPr="00626C86" w:rsidRDefault="002C79EE" w:rsidP="00626C86">
      <w:pPr>
        <w:pStyle w:val="ListParagraph"/>
        <w:numPr>
          <w:ilvl w:val="0"/>
          <w:numId w:val="2"/>
        </w:numPr>
        <w:spacing w:line="360" w:lineRule="auto"/>
        <w:ind w:left="0"/>
        <w:rPr>
          <w:bCs/>
        </w:rPr>
      </w:pPr>
      <w:r w:rsidRPr="00626C86">
        <w:rPr>
          <w:bCs/>
        </w:rPr>
        <w:t>Lending to Infrastructure</w:t>
      </w:r>
      <w:r w:rsidR="00626C86">
        <w:rPr>
          <w:bCs/>
        </w:rPr>
        <w:t xml:space="preserve"> Sector</w:t>
      </w:r>
    </w:p>
    <w:p w:rsidR="002C79EE" w:rsidRPr="00626C86" w:rsidRDefault="002C79EE" w:rsidP="00626C86">
      <w:pPr>
        <w:pStyle w:val="ListParagraph"/>
        <w:numPr>
          <w:ilvl w:val="0"/>
          <w:numId w:val="2"/>
        </w:numPr>
        <w:spacing w:line="360" w:lineRule="auto"/>
        <w:ind w:left="0"/>
        <w:rPr>
          <w:bCs/>
        </w:rPr>
      </w:pPr>
      <w:r w:rsidRPr="00626C86">
        <w:rPr>
          <w:bCs/>
        </w:rPr>
        <w:t>Rating of Borrowers</w:t>
      </w:r>
    </w:p>
    <w:p w:rsidR="000F0350" w:rsidRPr="00626C86" w:rsidRDefault="001E3AD6" w:rsidP="00626C86">
      <w:pPr>
        <w:pStyle w:val="ListParagraph"/>
        <w:numPr>
          <w:ilvl w:val="0"/>
          <w:numId w:val="2"/>
        </w:numPr>
        <w:spacing w:line="360" w:lineRule="auto"/>
        <w:ind w:left="0"/>
        <w:rPr>
          <w:bCs/>
        </w:rPr>
      </w:pPr>
      <w:r w:rsidRPr="00626C86">
        <w:rPr>
          <w:bCs/>
        </w:rPr>
        <w:t xml:space="preserve">Credit monitoring, NPA recovery and restructuring </w:t>
      </w:r>
    </w:p>
    <w:p w:rsidR="000F0350" w:rsidRPr="00626C86" w:rsidRDefault="000F0350" w:rsidP="00626C86">
      <w:pPr>
        <w:spacing w:after="0" w:line="360" w:lineRule="auto"/>
        <w:rPr>
          <w:rFonts w:ascii="Times New Roman" w:hAnsi="Times New Roman" w:cs="Times New Roman"/>
          <w:bCs/>
          <w:sz w:val="24"/>
          <w:szCs w:val="24"/>
        </w:rPr>
      </w:pPr>
    </w:p>
    <w:p w:rsidR="000F0350" w:rsidRPr="00626C86" w:rsidRDefault="000F0350" w:rsidP="00626C86">
      <w:pPr>
        <w:spacing w:after="0" w:line="360" w:lineRule="auto"/>
        <w:rPr>
          <w:rFonts w:ascii="Times New Roman" w:hAnsi="Times New Roman" w:cs="Times New Roman"/>
          <w:b/>
          <w:sz w:val="24"/>
          <w:szCs w:val="24"/>
        </w:rPr>
      </w:pPr>
      <w:r w:rsidRPr="00626C86">
        <w:rPr>
          <w:rFonts w:ascii="Times New Roman" w:hAnsi="Times New Roman" w:cs="Times New Roman"/>
          <w:b/>
          <w:sz w:val="24"/>
          <w:szCs w:val="24"/>
        </w:rPr>
        <w:t xml:space="preserve">II. Financing of international trade </w:t>
      </w:r>
    </w:p>
    <w:p w:rsidR="000F0350" w:rsidRPr="00626C86" w:rsidRDefault="000F0350" w:rsidP="00626C86">
      <w:pPr>
        <w:numPr>
          <w:ilvl w:val="0"/>
          <w:numId w:val="2"/>
        </w:numPr>
        <w:spacing w:after="0" w:line="360" w:lineRule="auto"/>
        <w:ind w:left="0"/>
        <w:rPr>
          <w:rFonts w:ascii="Times New Roman" w:hAnsi="Times New Roman" w:cs="Times New Roman"/>
          <w:bCs/>
          <w:sz w:val="24"/>
          <w:szCs w:val="24"/>
        </w:rPr>
      </w:pPr>
      <w:r w:rsidRPr="00626C86">
        <w:rPr>
          <w:rFonts w:ascii="Times New Roman" w:hAnsi="Times New Roman" w:cs="Times New Roman"/>
          <w:bCs/>
          <w:sz w:val="24"/>
          <w:szCs w:val="24"/>
        </w:rPr>
        <w:t>Trade finance services:</w:t>
      </w:r>
    </w:p>
    <w:p w:rsidR="000F0350" w:rsidRPr="00626C86" w:rsidRDefault="000F0350" w:rsidP="00626C86">
      <w:pPr>
        <w:numPr>
          <w:ilvl w:val="0"/>
          <w:numId w:val="5"/>
        </w:numPr>
        <w:spacing w:after="0" w:line="360" w:lineRule="auto"/>
        <w:ind w:left="0"/>
        <w:rPr>
          <w:rFonts w:ascii="Times New Roman" w:hAnsi="Times New Roman" w:cs="Times New Roman"/>
          <w:bCs/>
          <w:sz w:val="24"/>
          <w:szCs w:val="24"/>
        </w:rPr>
      </w:pPr>
      <w:r w:rsidRPr="00626C86">
        <w:rPr>
          <w:rFonts w:ascii="Times New Roman" w:hAnsi="Times New Roman" w:cs="Times New Roman"/>
          <w:bCs/>
          <w:sz w:val="24"/>
          <w:szCs w:val="24"/>
        </w:rPr>
        <w:t>Letter of Credits (with detailed look at UCP 600, URR, ISBP, Incoterms)</w:t>
      </w:r>
    </w:p>
    <w:p w:rsidR="000F0350" w:rsidRPr="00626C86" w:rsidRDefault="000F0350" w:rsidP="00626C86">
      <w:pPr>
        <w:numPr>
          <w:ilvl w:val="0"/>
          <w:numId w:val="5"/>
        </w:numPr>
        <w:spacing w:after="0" w:line="360" w:lineRule="auto"/>
        <w:ind w:left="0"/>
        <w:rPr>
          <w:rFonts w:ascii="Times New Roman" w:hAnsi="Times New Roman" w:cs="Times New Roman"/>
          <w:bCs/>
          <w:sz w:val="24"/>
          <w:szCs w:val="24"/>
        </w:rPr>
      </w:pPr>
      <w:r w:rsidRPr="00626C86">
        <w:rPr>
          <w:rFonts w:ascii="Times New Roman" w:hAnsi="Times New Roman" w:cs="Times New Roman"/>
          <w:bCs/>
          <w:sz w:val="24"/>
          <w:szCs w:val="24"/>
        </w:rPr>
        <w:t xml:space="preserve">Bank guarantees </w:t>
      </w:r>
    </w:p>
    <w:p w:rsidR="000F0350" w:rsidRPr="00626C86" w:rsidRDefault="000F0350" w:rsidP="00626C86">
      <w:pPr>
        <w:numPr>
          <w:ilvl w:val="0"/>
          <w:numId w:val="5"/>
        </w:numPr>
        <w:spacing w:after="0" w:line="360" w:lineRule="auto"/>
        <w:ind w:left="0"/>
        <w:rPr>
          <w:rFonts w:ascii="Times New Roman" w:hAnsi="Times New Roman" w:cs="Times New Roman"/>
          <w:bCs/>
          <w:sz w:val="24"/>
          <w:szCs w:val="24"/>
        </w:rPr>
      </w:pPr>
      <w:r w:rsidRPr="00626C86">
        <w:rPr>
          <w:rFonts w:ascii="Times New Roman" w:hAnsi="Times New Roman" w:cs="Times New Roman"/>
          <w:bCs/>
          <w:sz w:val="24"/>
          <w:szCs w:val="24"/>
        </w:rPr>
        <w:t>Advance payments for imports and exports</w:t>
      </w:r>
      <w:r w:rsidRPr="00626C86">
        <w:rPr>
          <w:rFonts w:ascii="Times New Roman" w:hAnsi="Times New Roman" w:cs="Times New Roman"/>
          <w:bCs/>
          <w:sz w:val="24"/>
          <w:szCs w:val="24"/>
        </w:rPr>
        <w:fldChar w:fldCharType="begin"/>
      </w:r>
      <w:r w:rsidRPr="00626C86">
        <w:rPr>
          <w:rFonts w:ascii="Times New Roman" w:hAnsi="Times New Roman" w:cs="Times New Roman"/>
          <w:bCs/>
          <w:sz w:val="24"/>
          <w:szCs w:val="24"/>
        </w:rPr>
        <w:instrText>tc "</w:instrText>
      </w:r>
      <w:r w:rsidRPr="00626C86">
        <w:rPr>
          <w:rFonts w:ascii="Times New Roman" w:hAnsi="Times New Roman" w:cs="Times New Roman"/>
          <w:bCs/>
          <w:sz w:val="24"/>
          <w:szCs w:val="24"/>
        </w:rPr>
        <w:instrText></w:instrText>
      </w:r>
      <w:r w:rsidRPr="00626C86">
        <w:rPr>
          <w:rFonts w:ascii="Times New Roman" w:hAnsi="Times New Roman" w:cs="Times New Roman"/>
          <w:bCs/>
          <w:sz w:val="24"/>
          <w:szCs w:val="24"/>
        </w:rPr>
        <w:tab/>
        <w:instrText>Trade finance services"</w:instrText>
      </w:r>
      <w:r w:rsidRPr="00626C86">
        <w:rPr>
          <w:rFonts w:ascii="Times New Roman" w:hAnsi="Times New Roman" w:cs="Times New Roman"/>
          <w:bCs/>
          <w:sz w:val="24"/>
          <w:szCs w:val="24"/>
        </w:rPr>
        <w:fldChar w:fldCharType="end"/>
      </w:r>
    </w:p>
    <w:p w:rsidR="000F0350" w:rsidRPr="00626C86" w:rsidRDefault="000F0350" w:rsidP="00626C86">
      <w:pPr>
        <w:numPr>
          <w:ilvl w:val="0"/>
          <w:numId w:val="2"/>
        </w:numPr>
        <w:spacing w:after="0" w:line="360" w:lineRule="auto"/>
        <w:ind w:left="0"/>
        <w:rPr>
          <w:rFonts w:ascii="Times New Roman" w:hAnsi="Times New Roman" w:cs="Times New Roman"/>
          <w:bCs/>
          <w:sz w:val="24"/>
          <w:szCs w:val="24"/>
        </w:rPr>
      </w:pPr>
      <w:r w:rsidRPr="00626C86">
        <w:rPr>
          <w:rFonts w:ascii="Times New Roman" w:hAnsi="Times New Roman" w:cs="Times New Roman"/>
          <w:bCs/>
          <w:sz w:val="24"/>
          <w:szCs w:val="24"/>
        </w:rPr>
        <w:t xml:space="preserve">Trade credits and </w:t>
      </w:r>
      <w:r w:rsidRPr="00626C86">
        <w:rPr>
          <w:rFonts w:ascii="Times New Roman" w:hAnsi="Times New Roman" w:cs="Times New Roman"/>
          <w:bCs/>
          <w:sz w:val="24"/>
          <w:szCs w:val="24"/>
        </w:rPr>
        <w:fldChar w:fldCharType="begin"/>
      </w:r>
      <w:r w:rsidRPr="00626C86">
        <w:rPr>
          <w:rFonts w:ascii="Times New Roman" w:hAnsi="Times New Roman" w:cs="Times New Roman"/>
          <w:bCs/>
          <w:sz w:val="24"/>
          <w:szCs w:val="24"/>
        </w:rPr>
        <w:instrText>tc "o</w:instrText>
      </w:r>
      <w:r w:rsidRPr="00626C86">
        <w:rPr>
          <w:rFonts w:ascii="Times New Roman" w:hAnsi="Times New Roman" w:cs="Times New Roman"/>
          <w:bCs/>
          <w:sz w:val="24"/>
          <w:szCs w:val="24"/>
        </w:rPr>
        <w:tab/>
        <w:instrText>Financing of exports (Pre-shipment and post-shipment)"</w:instrText>
      </w:r>
      <w:r w:rsidRPr="00626C86">
        <w:rPr>
          <w:rFonts w:ascii="Times New Roman" w:hAnsi="Times New Roman" w:cs="Times New Roman"/>
          <w:bCs/>
          <w:sz w:val="24"/>
          <w:szCs w:val="24"/>
        </w:rPr>
        <w:fldChar w:fldCharType="end"/>
      </w:r>
      <w:r w:rsidRPr="00626C86">
        <w:rPr>
          <w:rFonts w:ascii="Times New Roman" w:hAnsi="Times New Roman" w:cs="Times New Roman"/>
          <w:bCs/>
          <w:sz w:val="24"/>
          <w:szCs w:val="24"/>
        </w:rPr>
        <w:t>External Commercial borrowings (ECBs)</w:t>
      </w:r>
    </w:p>
    <w:p w:rsidR="000F0350" w:rsidRPr="00626C86" w:rsidRDefault="000F0350" w:rsidP="00626C86">
      <w:pPr>
        <w:numPr>
          <w:ilvl w:val="0"/>
          <w:numId w:val="2"/>
        </w:numPr>
        <w:spacing w:after="0" w:line="360" w:lineRule="auto"/>
        <w:ind w:left="0"/>
        <w:rPr>
          <w:rFonts w:ascii="Times New Roman" w:hAnsi="Times New Roman" w:cs="Times New Roman"/>
          <w:bCs/>
          <w:sz w:val="24"/>
          <w:szCs w:val="24"/>
        </w:rPr>
      </w:pPr>
      <w:r w:rsidRPr="00626C86">
        <w:rPr>
          <w:rFonts w:ascii="Times New Roman" w:hAnsi="Times New Roman" w:cs="Times New Roman"/>
          <w:bCs/>
          <w:sz w:val="24"/>
          <w:szCs w:val="24"/>
        </w:rPr>
        <w:t>Foreign exchange markets and foreign exchange arithmetic</w:t>
      </w:r>
    </w:p>
    <w:p w:rsidR="000F0350" w:rsidRPr="00626C86" w:rsidRDefault="000F0350" w:rsidP="00626C86">
      <w:pPr>
        <w:numPr>
          <w:ilvl w:val="0"/>
          <w:numId w:val="2"/>
        </w:numPr>
        <w:spacing w:after="0" w:line="360" w:lineRule="auto"/>
        <w:ind w:left="0"/>
        <w:rPr>
          <w:rFonts w:ascii="Times New Roman" w:hAnsi="Times New Roman" w:cs="Times New Roman"/>
          <w:bCs/>
          <w:sz w:val="24"/>
          <w:szCs w:val="24"/>
        </w:rPr>
      </w:pPr>
      <w:r w:rsidRPr="00626C86">
        <w:rPr>
          <w:rFonts w:ascii="Times New Roman" w:hAnsi="Times New Roman" w:cs="Times New Roman"/>
          <w:bCs/>
          <w:sz w:val="24"/>
          <w:szCs w:val="24"/>
        </w:rPr>
        <w:t>Foreign exchange risks and tools for risk management</w:t>
      </w:r>
    </w:p>
    <w:p w:rsidR="000F0350" w:rsidRPr="00626C86" w:rsidRDefault="000F0350" w:rsidP="00626C86">
      <w:pPr>
        <w:numPr>
          <w:ilvl w:val="0"/>
          <w:numId w:val="2"/>
        </w:numPr>
        <w:spacing w:after="0" w:line="360" w:lineRule="auto"/>
        <w:ind w:left="0"/>
        <w:rPr>
          <w:rFonts w:ascii="Times New Roman" w:hAnsi="Times New Roman" w:cs="Times New Roman"/>
          <w:bCs/>
          <w:sz w:val="24"/>
          <w:szCs w:val="24"/>
        </w:rPr>
      </w:pPr>
      <w:r w:rsidRPr="00626C86">
        <w:rPr>
          <w:rFonts w:ascii="Times New Roman" w:hAnsi="Times New Roman" w:cs="Times New Roman"/>
          <w:bCs/>
          <w:sz w:val="24"/>
          <w:szCs w:val="24"/>
        </w:rPr>
        <w:t>Anti- Money Laundering and KYC guidelines relevant for trade financing</w:t>
      </w:r>
    </w:p>
    <w:p w:rsidR="000F0350" w:rsidRPr="00626C86" w:rsidRDefault="000F0350" w:rsidP="00626C86">
      <w:pPr>
        <w:pStyle w:val="ListParagraph"/>
        <w:spacing w:line="360" w:lineRule="auto"/>
        <w:ind w:left="0"/>
        <w:rPr>
          <w:bCs/>
        </w:rPr>
      </w:pPr>
    </w:p>
    <w:p w:rsidR="002C79EE" w:rsidRPr="00626C86" w:rsidRDefault="002C79EE" w:rsidP="00626C86">
      <w:pPr>
        <w:spacing w:after="0" w:line="360" w:lineRule="auto"/>
        <w:rPr>
          <w:rFonts w:ascii="Times New Roman" w:hAnsi="Times New Roman" w:cs="Times New Roman"/>
          <w:bCs/>
          <w:sz w:val="24"/>
          <w:szCs w:val="24"/>
        </w:rPr>
      </w:pPr>
    </w:p>
    <w:p w:rsidR="002C79EE" w:rsidRPr="00626C86" w:rsidRDefault="002C79EE" w:rsidP="00626C86">
      <w:pPr>
        <w:spacing w:after="0" w:line="360" w:lineRule="auto"/>
        <w:rPr>
          <w:rFonts w:ascii="Times New Roman" w:hAnsi="Times New Roman" w:cs="Times New Roman"/>
          <w:sz w:val="24"/>
          <w:szCs w:val="24"/>
        </w:rPr>
      </w:pPr>
    </w:p>
    <w:p w:rsidR="002C79EE" w:rsidRPr="00626C86" w:rsidRDefault="002C79EE" w:rsidP="00626C86">
      <w:pPr>
        <w:spacing w:after="0" w:line="360" w:lineRule="auto"/>
        <w:rPr>
          <w:rFonts w:ascii="Times New Roman" w:hAnsi="Times New Roman" w:cs="Times New Roman"/>
          <w:sz w:val="24"/>
          <w:szCs w:val="24"/>
        </w:rPr>
      </w:pPr>
    </w:p>
    <w:p w:rsidR="0007604E" w:rsidRPr="00626C86" w:rsidRDefault="0007604E" w:rsidP="00626C86">
      <w:pPr>
        <w:autoSpaceDE w:val="0"/>
        <w:autoSpaceDN w:val="0"/>
        <w:adjustRightInd w:val="0"/>
        <w:spacing w:after="0" w:line="360" w:lineRule="auto"/>
        <w:jc w:val="both"/>
        <w:rPr>
          <w:rFonts w:ascii="Times New Roman" w:hAnsi="Times New Roman" w:cs="Times New Roman"/>
          <w:color w:val="000000"/>
          <w:sz w:val="24"/>
          <w:szCs w:val="24"/>
        </w:rPr>
      </w:pPr>
    </w:p>
    <w:p w:rsidR="00CE4C89" w:rsidRPr="00626C86" w:rsidRDefault="00CE4C89" w:rsidP="00626C86">
      <w:pPr>
        <w:autoSpaceDE w:val="0"/>
        <w:autoSpaceDN w:val="0"/>
        <w:adjustRightInd w:val="0"/>
        <w:spacing w:after="0" w:line="360" w:lineRule="auto"/>
        <w:jc w:val="both"/>
        <w:rPr>
          <w:rFonts w:ascii="Times New Roman" w:hAnsi="Times New Roman" w:cs="Times New Roman"/>
          <w:b/>
          <w:bCs/>
          <w:color w:val="000000"/>
          <w:sz w:val="24"/>
          <w:szCs w:val="24"/>
        </w:rPr>
      </w:pPr>
    </w:p>
    <w:sectPr w:rsidR="00CE4C89" w:rsidRPr="00626C86" w:rsidSect="003779CF">
      <w:footerReference w:type="default" r:id="rId8"/>
      <w:pgSz w:w="12240" w:h="15840"/>
      <w:pgMar w:top="1021" w:right="1304" w:bottom="10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85" w:rsidRDefault="00F72E85" w:rsidP="001F34EB">
      <w:pPr>
        <w:spacing w:after="0" w:line="240" w:lineRule="auto"/>
      </w:pPr>
      <w:r>
        <w:separator/>
      </w:r>
    </w:p>
  </w:endnote>
  <w:endnote w:type="continuationSeparator" w:id="0">
    <w:p w:rsidR="00F72E85" w:rsidRDefault="00F72E85" w:rsidP="001F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PalmSprings">
    <w:altName w:val="Georgia"/>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78746"/>
      <w:docPartObj>
        <w:docPartGallery w:val="Page Numbers (Bottom of Page)"/>
        <w:docPartUnique/>
      </w:docPartObj>
    </w:sdtPr>
    <w:sdtEndPr>
      <w:rPr>
        <w:noProof/>
      </w:rPr>
    </w:sdtEndPr>
    <w:sdtContent>
      <w:p w:rsidR="001F34EB" w:rsidRDefault="001F34EB">
        <w:pPr>
          <w:pStyle w:val="Footer"/>
          <w:jc w:val="right"/>
        </w:pPr>
        <w:r>
          <w:fldChar w:fldCharType="begin"/>
        </w:r>
        <w:r>
          <w:instrText xml:space="preserve"> PAGE   \* MERGEFORMAT </w:instrText>
        </w:r>
        <w:r>
          <w:fldChar w:fldCharType="separate"/>
        </w:r>
        <w:r w:rsidR="0061189F">
          <w:rPr>
            <w:noProof/>
          </w:rPr>
          <w:t>1</w:t>
        </w:r>
        <w:r>
          <w:rPr>
            <w:noProof/>
          </w:rPr>
          <w:fldChar w:fldCharType="end"/>
        </w:r>
      </w:p>
    </w:sdtContent>
  </w:sdt>
  <w:p w:rsidR="001F34EB" w:rsidRDefault="001F3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85" w:rsidRDefault="00F72E85" w:rsidP="001F34EB">
      <w:pPr>
        <w:spacing w:after="0" w:line="240" w:lineRule="auto"/>
      </w:pPr>
      <w:r>
        <w:separator/>
      </w:r>
    </w:p>
  </w:footnote>
  <w:footnote w:type="continuationSeparator" w:id="0">
    <w:p w:rsidR="00F72E85" w:rsidRDefault="00F72E85" w:rsidP="001F3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43C88"/>
    <w:multiLevelType w:val="hybridMultilevel"/>
    <w:tmpl w:val="16A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F7B40"/>
    <w:multiLevelType w:val="hybridMultilevel"/>
    <w:tmpl w:val="214CC0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93612E7"/>
    <w:multiLevelType w:val="hybridMultilevel"/>
    <w:tmpl w:val="932EC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17710"/>
    <w:multiLevelType w:val="hybridMultilevel"/>
    <w:tmpl w:val="90C67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BC3C21"/>
    <w:multiLevelType w:val="hybridMultilevel"/>
    <w:tmpl w:val="E89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8F"/>
    <w:rsid w:val="00050D63"/>
    <w:rsid w:val="0007604E"/>
    <w:rsid w:val="00094C4E"/>
    <w:rsid w:val="000F0350"/>
    <w:rsid w:val="00114DBF"/>
    <w:rsid w:val="001308FD"/>
    <w:rsid w:val="00134564"/>
    <w:rsid w:val="00144CE7"/>
    <w:rsid w:val="001E3AD6"/>
    <w:rsid w:val="001F34EB"/>
    <w:rsid w:val="002B3284"/>
    <w:rsid w:val="002C79EE"/>
    <w:rsid w:val="002D411B"/>
    <w:rsid w:val="00337915"/>
    <w:rsid w:val="0034274B"/>
    <w:rsid w:val="0037129B"/>
    <w:rsid w:val="003779CF"/>
    <w:rsid w:val="003C30C9"/>
    <w:rsid w:val="003D2A30"/>
    <w:rsid w:val="003E6E8F"/>
    <w:rsid w:val="0043083B"/>
    <w:rsid w:val="00485C05"/>
    <w:rsid w:val="004D52D3"/>
    <w:rsid w:val="00602348"/>
    <w:rsid w:val="0061189F"/>
    <w:rsid w:val="00626C86"/>
    <w:rsid w:val="00650F24"/>
    <w:rsid w:val="006816EB"/>
    <w:rsid w:val="00687BDB"/>
    <w:rsid w:val="006A26CA"/>
    <w:rsid w:val="006B5D38"/>
    <w:rsid w:val="006C688C"/>
    <w:rsid w:val="006D61C1"/>
    <w:rsid w:val="006E536B"/>
    <w:rsid w:val="007B03C4"/>
    <w:rsid w:val="007B4F79"/>
    <w:rsid w:val="007F1B30"/>
    <w:rsid w:val="00842B1A"/>
    <w:rsid w:val="00902162"/>
    <w:rsid w:val="00995680"/>
    <w:rsid w:val="009D5306"/>
    <w:rsid w:val="009E264D"/>
    <w:rsid w:val="009F47C0"/>
    <w:rsid w:val="00A5003C"/>
    <w:rsid w:val="00A5468C"/>
    <w:rsid w:val="00A57A6F"/>
    <w:rsid w:val="00AA03D6"/>
    <w:rsid w:val="00AC391F"/>
    <w:rsid w:val="00AE5471"/>
    <w:rsid w:val="00B422A5"/>
    <w:rsid w:val="00BC46B7"/>
    <w:rsid w:val="00C25C73"/>
    <w:rsid w:val="00CE4C89"/>
    <w:rsid w:val="00CF5D9C"/>
    <w:rsid w:val="00D30028"/>
    <w:rsid w:val="00D36432"/>
    <w:rsid w:val="00D501A4"/>
    <w:rsid w:val="00D679B9"/>
    <w:rsid w:val="00E64A9F"/>
    <w:rsid w:val="00ED3DCF"/>
    <w:rsid w:val="00EE70C4"/>
    <w:rsid w:val="00F22136"/>
    <w:rsid w:val="00F55F35"/>
    <w:rsid w:val="00F60C47"/>
    <w:rsid w:val="00F72E85"/>
    <w:rsid w:val="00FC7D9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B0C04-651B-4555-B1E3-04D5FAB0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BodyText"/>
    <w:rsid w:val="003E6E8F"/>
    <w:pPr>
      <w:tabs>
        <w:tab w:val="left" w:pos="340"/>
      </w:tabs>
      <w:autoSpaceDE w:val="0"/>
      <w:autoSpaceDN w:val="0"/>
      <w:adjustRightInd w:val="0"/>
      <w:spacing w:after="57" w:line="240" w:lineRule="auto"/>
      <w:ind w:left="340" w:hanging="340"/>
      <w:jc w:val="both"/>
    </w:pPr>
    <w:rPr>
      <w:rFonts w:ascii="PalmSprings" w:hAnsi="PalmSprings" w:cs="PalmSprings"/>
    </w:rPr>
  </w:style>
  <w:style w:type="paragraph" w:styleId="BodyText">
    <w:name w:val="Body Text"/>
    <w:basedOn w:val="Normal"/>
    <w:link w:val="BodyTextChar"/>
    <w:uiPriority w:val="99"/>
    <w:unhideWhenUsed/>
    <w:rsid w:val="003E6E8F"/>
    <w:pPr>
      <w:spacing w:after="120"/>
    </w:pPr>
  </w:style>
  <w:style w:type="character" w:customStyle="1" w:styleId="BodyTextChar">
    <w:name w:val="Body Text Char"/>
    <w:basedOn w:val="DefaultParagraphFont"/>
    <w:link w:val="BodyText"/>
    <w:uiPriority w:val="99"/>
    <w:rsid w:val="003E6E8F"/>
  </w:style>
  <w:style w:type="paragraph" w:customStyle="1" w:styleId="head">
    <w:name w:val="head"/>
    <w:basedOn w:val="BodyText"/>
    <w:uiPriority w:val="99"/>
    <w:rsid w:val="003E6E8F"/>
    <w:pPr>
      <w:tabs>
        <w:tab w:val="left" w:pos="240"/>
      </w:tabs>
      <w:autoSpaceDE w:val="0"/>
      <w:autoSpaceDN w:val="0"/>
      <w:adjustRightInd w:val="0"/>
      <w:spacing w:before="113" w:after="57" w:line="240" w:lineRule="auto"/>
    </w:pPr>
    <w:rPr>
      <w:rFonts w:ascii="PalmSprings" w:hAnsi="PalmSprings" w:cs="PalmSprings"/>
      <w:b/>
      <w:bCs/>
      <w:sz w:val="24"/>
      <w:szCs w:val="24"/>
    </w:rPr>
  </w:style>
  <w:style w:type="character" w:styleId="Hyperlink">
    <w:name w:val="Hyperlink"/>
    <w:basedOn w:val="DefaultParagraphFont"/>
    <w:uiPriority w:val="99"/>
    <w:unhideWhenUsed/>
    <w:rsid w:val="006E536B"/>
    <w:rPr>
      <w:color w:val="0563C1" w:themeColor="hyperlink"/>
      <w:u w:val="single"/>
    </w:rPr>
  </w:style>
  <w:style w:type="character" w:customStyle="1" w:styleId="highlight">
    <w:name w:val="highlight"/>
    <w:basedOn w:val="DefaultParagraphFont"/>
    <w:rsid w:val="004D52D3"/>
  </w:style>
  <w:style w:type="paragraph" w:styleId="Header">
    <w:name w:val="header"/>
    <w:basedOn w:val="Normal"/>
    <w:link w:val="HeaderChar"/>
    <w:uiPriority w:val="99"/>
    <w:unhideWhenUsed/>
    <w:rsid w:val="001F3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4EB"/>
  </w:style>
  <w:style w:type="paragraph" w:styleId="Footer">
    <w:name w:val="footer"/>
    <w:basedOn w:val="Normal"/>
    <w:link w:val="FooterChar"/>
    <w:uiPriority w:val="99"/>
    <w:unhideWhenUsed/>
    <w:rsid w:val="001F3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4EB"/>
  </w:style>
  <w:style w:type="paragraph" w:styleId="BalloonText">
    <w:name w:val="Balloon Text"/>
    <w:basedOn w:val="Normal"/>
    <w:link w:val="BalloonTextChar"/>
    <w:uiPriority w:val="99"/>
    <w:semiHidden/>
    <w:unhideWhenUsed/>
    <w:rsid w:val="00602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48"/>
    <w:rPr>
      <w:rFonts w:ascii="Segoe UI" w:hAnsi="Segoe UI" w:cs="Segoe UI"/>
      <w:sz w:val="18"/>
      <w:szCs w:val="18"/>
    </w:rPr>
  </w:style>
  <w:style w:type="paragraph" w:styleId="ListParagraph">
    <w:name w:val="List Paragraph"/>
    <w:basedOn w:val="Normal"/>
    <w:uiPriority w:val="34"/>
    <w:qFormat/>
    <w:rsid w:val="002C79E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2039">
      <w:bodyDiv w:val="1"/>
      <w:marLeft w:val="0"/>
      <w:marRight w:val="0"/>
      <w:marTop w:val="0"/>
      <w:marBottom w:val="0"/>
      <w:divBdr>
        <w:top w:val="none" w:sz="0" w:space="0" w:color="auto"/>
        <w:left w:val="none" w:sz="0" w:space="0" w:color="auto"/>
        <w:bottom w:val="none" w:sz="0" w:space="0" w:color="auto"/>
        <w:right w:val="none" w:sz="0" w:space="0" w:color="auto"/>
      </w:divBdr>
      <w:divsChild>
        <w:div w:id="885723177">
          <w:marLeft w:val="0"/>
          <w:marRight w:val="0"/>
          <w:marTop w:val="0"/>
          <w:marBottom w:val="0"/>
          <w:divBdr>
            <w:top w:val="none" w:sz="0" w:space="0" w:color="auto"/>
            <w:left w:val="none" w:sz="0" w:space="0" w:color="auto"/>
            <w:bottom w:val="none" w:sz="0" w:space="0" w:color="auto"/>
            <w:right w:val="none" w:sz="0" w:space="0" w:color="auto"/>
          </w:divBdr>
        </w:div>
        <w:div w:id="1954941799">
          <w:marLeft w:val="0"/>
          <w:marRight w:val="0"/>
          <w:marTop w:val="0"/>
          <w:marBottom w:val="0"/>
          <w:divBdr>
            <w:top w:val="none" w:sz="0" w:space="0" w:color="auto"/>
            <w:left w:val="none" w:sz="0" w:space="0" w:color="auto"/>
            <w:bottom w:val="none" w:sz="0" w:space="0" w:color="auto"/>
            <w:right w:val="none" w:sz="0" w:space="0" w:color="auto"/>
          </w:divBdr>
        </w:div>
      </w:divsChild>
    </w:div>
    <w:div w:id="303856870">
      <w:bodyDiv w:val="1"/>
      <w:marLeft w:val="0"/>
      <w:marRight w:val="0"/>
      <w:marTop w:val="0"/>
      <w:marBottom w:val="0"/>
      <w:divBdr>
        <w:top w:val="none" w:sz="0" w:space="0" w:color="auto"/>
        <w:left w:val="none" w:sz="0" w:space="0" w:color="auto"/>
        <w:bottom w:val="none" w:sz="0" w:space="0" w:color="auto"/>
        <w:right w:val="none" w:sz="0" w:space="0" w:color="auto"/>
      </w:divBdr>
      <w:divsChild>
        <w:div w:id="1064060450">
          <w:marLeft w:val="0"/>
          <w:marRight w:val="0"/>
          <w:marTop w:val="0"/>
          <w:marBottom w:val="0"/>
          <w:divBdr>
            <w:top w:val="none" w:sz="0" w:space="0" w:color="auto"/>
            <w:left w:val="none" w:sz="0" w:space="0" w:color="auto"/>
            <w:bottom w:val="none" w:sz="0" w:space="0" w:color="auto"/>
            <w:right w:val="none" w:sz="0" w:space="0" w:color="auto"/>
          </w:divBdr>
        </w:div>
        <w:div w:id="469203286">
          <w:marLeft w:val="0"/>
          <w:marRight w:val="0"/>
          <w:marTop w:val="0"/>
          <w:marBottom w:val="0"/>
          <w:divBdr>
            <w:top w:val="none" w:sz="0" w:space="0" w:color="auto"/>
            <w:left w:val="none" w:sz="0" w:space="0" w:color="auto"/>
            <w:bottom w:val="none" w:sz="0" w:space="0" w:color="auto"/>
            <w:right w:val="none" w:sz="0" w:space="0" w:color="auto"/>
          </w:divBdr>
        </w:div>
      </w:divsChild>
    </w:div>
    <w:div w:id="1229998432">
      <w:bodyDiv w:val="1"/>
      <w:marLeft w:val="0"/>
      <w:marRight w:val="0"/>
      <w:marTop w:val="0"/>
      <w:marBottom w:val="0"/>
      <w:divBdr>
        <w:top w:val="none" w:sz="0" w:space="0" w:color="auto"/>
        <w:left w:val="none" w:sz="0" w:space="0" w:color="auto"/>
        <w:bottom w:val="none" w:sz="0" w:space="0" w:color="auto"/>
        <w:right w:val="none" w:sz="0" w:space="0" w:color="auto"/>
      </w:divBdr>
      <w:divsChild>
        <w:div w:id="520238458">
          <w:marLeft w:val="0"/>
          <w:marRight w:val="0"/>
          <w:marTop w:val="0"/>
          <w:marBottom w:val="0"/>
          <w:divBdr>
            <w:top w:val="none" w:sz="0" w:space="0" w:color="auto"/>
            <w:left w:val="none" w:sz="0" w:space="0" w:color="auto"/>
            <w:bottom w:val="none" w:sz="0" w:space="0" w:color="auto"/>
            <w:right w:val="none" w:sz="0" w:space="0" w:color="auto"/>
          </w:divBdr>
        </w:div>
        <w:div w:id="312219003">
          <w:marLeft w:val="0"/>
          <w:marRight w:val="0"/>
          <w:marTop w:val="0"/>
          <w:marBottom w:val="0"/>
          <w:divBdr>
            <w:top w:val="none" w:sz="0" w:space="0" w:color="auto"/>
            <w:left w:val="none" w:sz="0" w:space="0" w:color="auto"/>
            <w:bottom w:val="none" w:sz="0" w:space="0" w:color="auto"/>
            <w:right w:val="none" w:sz="0" w:space="0" w:color="auto"/>
          </w:divBdr>
        </w:div>
        <w:div w:id="800345295">
          <w:marLeft w:val="0"/>
          <w:marRight w:val="0"/>
          <w:marTop w:val="0"/>
          <w:marBottom w:val="0"/>
          <w:divBdr>
            <w:top w:val="none" w:sz="0" w:space="0" w:color="auto"/>
            <w:left w:val="none" w:sz="0" w:space="0" w:color="auto"/>
            <w:bottom w:val="none" w:sz="0" w:space="0" w:color="auto"/>
            <w:right w:val="none" w:sz="0" w:space="0" w:color="auto"/>
          </w:divBdr>
        </w:div>
      </w:divsChild>
    </w:div>
    <w:div w:id="1978492058">
      <w:bodyDiv w:val="1"/>
      <w:marLeft w:val="0"/>
      <w:marRight w:val="0"/>
      <w:marTop w:val="0"/>
      <w:marBottom w:val="0"/>
      <w:divBdr>
        <w:top w:val="none" w:sz="0" w:space="0" w:color="auto"/>
        <w:left w:val="none" w:sz="0" w:space="0" w:color="auto"/>
        <w:bottom w:val="none" w:sz="0" w:space="0" w:color="auto"/>
        <w:right w:val="none" w:sz="0" w:space="0" w:color="auto"/>
      </w:divBdr>
      <w:divsChild>
        <w:div w:id="144397803">
          <w:marLeft w:val="0"/>
          <w:marRight w:val="0"/>
          <w:marTop w:val="0"/>
          <w:marBottom w:val="0"/>
          <w:divBdr>
            <w:top w:val="none" w:sz="0" w:space="0" w:color="auto"/>
            <w:left w:val="none" w:sz="0" w:space="0" w:color="auto"/>
            <w:bottom w:val="none" w:sz="0" w:space="0" w:color="auto"/>
            <w:right w:val="none" w:sz="0" w:space="0" w:color="auto"/>
          </w:divBdr>
        </w:div>
        <w:div w:id="984748404">
          <w:marLeft w:val="0"/>
          <w:marRight w:val="0"/>
          <w:marTop w:val="0"/>
          <w:marBottom w:val="0"/>
          <w:divBdr>
            <w:top w:val="none" w:sz="0" w:space="0" w:color="auto"/>
            <w:left w:val="none" w:sz="0" w:space="0" w:color="auto"/>
            <w:bottom w:val="none" w:sz="0" w:space="0" w:color="auto"/>
            <w:right w:val="none" w:sz="0" w:space="0" w:color="auto"/>
          </w:divBdr>
        </w:div>
        <w:div w:id="339044421">
          <w:marLeft w:val="0"/>
          <w:marRight w:val="0"/>
          <w:marTop w:val="0"/>
          <w:marBottom w:val="0"/>
          <w:divBdr>
            <w:top w:val="none" w:sz="0" w:space="0" w:color="auto"/>
            <w:left w:val="none" w:sz="0" w:space="0" w:color="auto"/>
            <w:bottom w:val="none" w:sz="0" w:space="0" w:color="auto"/>
            <w:right w:val="none" w:sz="0" w:space="0" w:color="auto"/>
          </w:divBdr>
        </w:div>
        <w:div w:id="1175342111">
          <w:marLeft w:val="0"/>
          <w:marRight w:val="0"/>
          <w:marTop w:val="0"/>
          <w:marBottom w:val="0"/>
          <w:divBdr>
            <w:top w:val="none" w:sz="0" w:space="0" w:color="auto"/>
            <w:left w:val="none" w:sz="0" w:space="0" w:color="auto"/>
            <w:bottom w:val="none" w:sz="0" w:space="0" w:color="auto"/>
            <w:right w:val="none" w:sz="0" w:space="0" w:color="auto"/>
          </w:divBdr>
        </w:div>
        <w:div w:id="136035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D591-19F2-4B51-8C83-2C4C705C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Publications</dc:creator>
  <cp:keywords/>
  <dc:description/>
  <cp:lastModifiedBy>Rosamma</cp:lastModifiedBy>
  <cp:revision>2</cp:revision>
  <cp:lastPrinted>2017-11-23T11:25:00Z</cp:lastPrinted>
  <dcterms:created xsi:type="dcterms:W3CDTF">2018-11-01T09:11:00Z</dcterms:created>
  <dcterms:modified xsi:type="dcterms:W3CDTF">2018-11-01T09:11:00Z</dcterms:modified>
</cp:coreProperties>
</file>