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0E" w:rsidRPr="0016582A" w:rsidRDefault="0088320E" w:rsidP="00883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Arial" w:hAnsi="Arial" w:cs="Arial"/>
          <w:color w:val="000000" w:themeColor="text1"/>
          <w:sz w:val="38"/>
          <w:szCs w:val="38"/>
        </w:rPr>
      </w:pPr>
      <w:r w:rsidRPr="0016582A">
        <w:rPr>
          <w:rFonts w:ascii="Copperplate Gothic" w:hAnsi="Copperplate Gothic" w:cs="Copperplate Gothic"/>
          <w:b/>
          <w:bCs/>
          <w:color w:val="000000" w:themeColor="text1"/>
          <w:sz w:val="28"/>
          <w:szCs w:val="28"/>
        </w:rPr>
        <w:t xml:space="preserve">Course </w:t>
      </w:r>
      <w:proofErr w:type="spellStart"/>
      <w:r w:rsidRPr="0016582A">
        <w:rPr>
          <w:rFonts w:ascii="Copperplate Gothic" w:hAnsi="Copperplate Gothic" w:cs="Copperplate Gothic"/>
          <w:b/>
          <w:bCs/>
          <w:color w:val="000000" w:themeColor="text1"/>
          <w:sz w:val="28"/>
          <w:szCs w:val="28"/>
        </w:rPr>
        <w:t>Sylabus</w:t>
      </w:r>
      <w:proofErr w:type="spellEnd"/>
    </w:p>
    <w:p w:rsidR="0088320E" w:rsidRPr="0016582A" w:rsidRDefault="0088320E" w:rsidP="00883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 xml:space="preserve">The course content for the training has been carefully thought out syllabus with </w:t>
      </w:r>
      <w:proofErr w:type="spellStart"/>
      <w:r w:rsidRPr="0016582A">
        <w:rPr>
          <w:rFonts w:ascii="Helvetica" w:hAnsi="Helvetica" w:cs="Helvetica"/>
          <w:color w:val="000000" w:themeColor="text1"/>
        </w:rPr>
        <w:t>speciﬁc</w:t>
      </w:r>
      <w:proofErr w:type="spellEnd"/>
      <w:r w:rsidRPr="0016582A">
        <w:rPr>
          <w:rFonts w:ascii="Helvetica" w:hAnsi="Helvetica" w:cs="Helvetica"/>
          <w:color w:val="000000" w:themeColor="text1"/>
        </w:rPr>
        <w:t xml:space="preserve"> subject experts giving lectures and going through </w:t>
      </w:r>
      <w:proofErr w:type="spellStart"/>
      <w:r w:rsidRPr="0016582A">
        <w:rPr>
          <w:rFonts w:ascii="Helvetica" w:hAnsi="Helvetica" w:cs="Helvetica"/>
          <w:color w:val="000000" w:themeColor="text1"/>
        </w:rPr>
        <w:t>speciﬁc</w:t>
      </w:r>
      <w:proofErr w:type="spellEnd"/>
      <w:r w:rsidRPr="0016582A">
        <w:rPr>
          <w:rFonts w:ascii="Helvetica" w:hAnsi="Helvetica" w:cs="Helvetica"/>
          <w:color w:val="000000" w:themeColor="text1"/>
        </w:rPr>
        <w:t xml:space="preserve"> case studies such that, at the end of the course considerable useful knowledge transfer is perceived.</w:t>
      </w:r>
    </w:p>
    <w:p w:rsidR="0088320E" w:rsidRPr="0016582A" w:rsidRDefault="0088320E" w:rsidP="00883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>The course will address the following aspects: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Wind energy conversion technology and power generation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Wind turbine technology and developments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Design of wind turbines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Wind turbine components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Wind resource assessment and techniques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Planning including design of wind farms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Wind farm developments and feasibility study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 xml:space="preserve">Pre-Investment study and cost </w:t>
      </w:r>
      <w:proofErr w:type="spellStart"/>
      <w:r w:rsidRPr="0088320E">
        <w:rPr>
          <w:rFonts w:ascii="Helvetica" w:hAnsi="Helvetica" w:cs="Helvetica"/>
          <w:color w:val="000000" w:themeColor="text1"/>
        </w:rPr>
        <w:t>beneﬁt</w:t>
      </w:r>
      <w:proofErr w:type="spellEnd"/>
      <w:r w:rsidRPr="0088320E">
        <w:rPr>
          <w:rFonts w:ascii="Helvetica" w:hAnsi="Helvetica" w:cs="Helvetica"/>
          <w:color w:val="000000" w:themeColor="text1"/>
        </w:rPr>
        <w:t xml:space="preserve"> analysis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Installation and commissioning of wind turbines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Post installation activities - Grid integration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>
        <w:rPr>
          <w:rFonts w:ascii="Helvetica" w:hAnsi="Helvetica" w:cs="Helvetica"/>
          <w:color w:val="000000" w:themeColor="text1"/>
        </w:rPr>
        <w:t>O</w:t>
      </w:r>
      <w:r w:rsidRPr="0088320E">
        <w:rPr>
          <w:rFonts w:ascii="Helvetica" w:hAnsi="Helvetica" w:cs="Helvetica"/>
          <w:color w:val="000000" w:themeColor="text1"/>
        </w:rPr>
        <w:t>&amp; M aspects of wind farms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 xml:space="preserve">Testing &amp; </w:t>
      </w:r>
      <w:proofErr w:type="spellStart"/>
      <w:r w:rsidRPr="0088320E">
        <w:rPr>
          <w:rFonts w:ascii="Helvetica" w:hAnsi="Helvetica" w:cs="Helvetica"/>
          <w:color w:val="000000" w:themeColor="text1"/>
        </w:rPr>
        <w:t>Certiﬁcation</w:t>
      </w:r>
      <w:proofErr w:type="spellEnd"/>
      <w:r w:rsidRPr="0088320E">
        <w:rPr>
          <w:rFonts w:ascii="Helvetica" w:hAnsi="Helvetica" w:cs="Helvetica"/>
          <w:color w:val="000000" w:themeColor="text1"/>
        </w:rPr>
        <w:t xml:space="preserve"> of wind turbines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Small wind turbine and hybrid systems</w:t>
      </w:r>
    </w:p>
    <w:p w:rsidR="0088320E" w:rsidRPr="0088320E" w:rsidRDefault="0088320E" w:rsidP="0088320E">
      <w:pPr>
        <w:pStyle w:val="ListParagraph"/>
        <w:numPr>
          <w:ilvl w:val="0"/>
          <w:numId w:val="1"/>
        </w:numPr>
        <w:tabs>
          <w:tab w:val="left" w:pos="280"/>
          <w:tab w:val="left" w:pos="3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6"/>
        </w:tabs>
        <w:suppressAutoHyphens/>
        <w:spacing w:before="240" w:line="264" w:lineRule="atLeast"/>
        <w:jc w:val="both"/>
        <w:rPr>
          <w:rFonts w:ascii="Franklin Gothic" w:hAnsi="Franklin Gothic" w:cs="Franklin Gothic"/>
          <w:b/>
          <w:bCs/>
          <w:color w:val="000000" w:themeColor="text1"/>
          <w:sz w:val="22"/>
          <w:szCs w:val="22"/>
          <w:lang w:val="en-AU"/>
        </w:rPr>
      </w:pPr>
      <w:r w:rsidRPr="0088320E">
        <w:rPr>
          <w:rFonts w:ascii="Helvetica" w:hAnsi="Helvetica" w:cs="Helvetica"/>
          <w:color w:val="000000" w:themeColor="text1"/>
        </w:rPr>
        <w:t>Policies, schemes and legal frameworks</w:t>
      </w:r>
    </w:p>
    <w:p w:rsidR="0088320E" w:rsidRPr="0016582A" w:rsidRDefault="0088320E" w:rsidP="0088320E">
      <w:pPr>
        <w:tabs>
          <w:tab w:val="left" w:pos="0"/>
          <w:tab w:val="left" w:pos="2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 xml:space="preserve">Additional lectures would also be organized while visiting wind farms and manufacturing facility to give a complete picture of the know-how and how to go about setting up a coordinated wind energy </w:t>
      </w:r>
      <w:proofErr w:type="spellStart"/>
      <w:r w:rsidRPr="0016582A">
        <w:rPr>
          <w:rFonts w:ascii="Helvetica" w:hAnsi="Helvetica" w:cs="Helvetica"/>
          <w:color w:val="000000" w:themeColor="text1"/>
        </w:rPr>
        <w:t>programme</w:t>
      </w:r>
      <w:proofErr w:type="spellEnd"/>
      <w:r w:rsidRPr="0016582A">
        <w:rPr>
          <w:rFonts w:ascii="Helvetica" w:hAnsi="Helvetica" w:cs="Helvetica"/>
          <w:color w:val="000000" w:themeColor="text1"/>
        </w:rPr>
        <w:t xml:space="preserve"> at national level.</w:t>
      </w:r>
    </w:p>
    <w:p w:rsidR="0088320E" w:rsidRDefault="0088320E" w:rsidP="0088320E">
      <w:pPr>
        <w:tabs>
          <w:tab w:val="left" w:pos="0"/>
          <w:tab w:val="left" w:pos="2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>Participants will also have opportunity of hands on experience on Wind Energy systems at different</w:t>
      </w:r>
      <w:r>
        <w:rPr>
          <w:rFonts w:ascii="Helvetica" w:hAnsi="Helvetica" w:cs="Helvetica"/>
          <w:color w:val="000000" w:themeColor="text1"/>
        </w:rPr>
        <w:t xml:space="preserve"> </w:t>
      </w:r>
      <w:r w:rsidRPr="0016582A">
        <w:rPr>
          <w:rFonts w:ascii="Helvetica" w:hAnsi="Helvetica" w:cs="Helvetica"/>
          <w:color w:val="000000" w:themeColor="text1"/>
        </w:rPr>
        <w:t>laboratories.</w:t>
      </w:r>
    </w:p>
    <w:p w:rsidR="006A5D22" w:rsidRDefault="0088320E"/>
    <w:sectPr w:rsidR="006A5D22" w:rsidSect="00A0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Franklin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7DD7"/>
    <w:multiLevelType w:val="hybridMultilevel"/>
    <w:tmpl w:val="CF4C1C8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320E"/>
    <w:rsid w:val="00202C87"/>
    <w:rsid w:val="00222EEE"/>
    <w:rsid w:val="002A6621"/>
    <w:rsid w:val="00733995"/>
    <w:rsid w:val="00874C78"/>
    <w:rsid w:val="0088320E"/>
    <w:rsid w:val="00942EAE"/>
    <w:rsid w:val="00947622"/>
    <w:rsid w:val="009D53A2"/>
    <w:rsid w:val="00A05612"/>
    <w:rsid w:val="00AD16EF"/>
    <w:rsid w:val="00C938D7"/>
    <w:rsid w:val="00D36F86"/>
    <w:rsid w:val="00DC0E24"/>
    <w:rsid w:val="00E36320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0E"/>
    <w:pPr>
      <w:ind w:left="720"/>
      <w:contextualSpacing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Vinusha</dc:creator>
  <cp:lastModifiedBy>Vinusha</cp:lastModifiedBy>
  <cp:revision>1</cp:revision>
  <dcterms:created xsi:type="dcterms:W3CDTF">2018-11-24T08:47:00Z</dcterms:created>
  <dcterms:modified xsi:type="dcterms:W3CDTF">2018-11-24T08:48:00Z</dcterms:modified>
</cp:coreProperties>
</file>