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DD" w:rsidRPr="00826951" w:rsidRDefault="00D721DD" w:rsidP="00D721DD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826951">
        <w:rPr>
          <w:rFonts w:ascii="Tahoma" w:hAnsi="Tahoma" w:cs="Tahoma"/>
          <w:b/>
          <w:sz w:val="28"/>
          <w:szCs w:val="28"/>
          <w:u w:val="single"/>
        </w:rPr>
        <w:t>Central Institute of Plastics Engineering &amp; Technology (CIPET)</w:t>
      </w:r>
    </w:p>
    <w:p w:rsidR="00D721DD" w:rsidRPr="007552BC" w:rsidRDefault="00D721DD" w:rsidP="00D721DD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7552BC">
        <w:rPr>
          <w:rFonts w:ascii="Tahoma" w:hAnsi="Tahoma" w:cs="Tahoma"/>
          <w:b/>
          <w:u w:val="single"/>
        </w:rPr>
        <w:t xml:space="preserve">Details of Training </w:t>
      </w:r>
      <w:proofErr w:type="spellStart"/>
      <w:r w:rsidRPr="007552BC">
        <w:rPr>
          <w:rFonts w:ascii="Tahoma" w:hAnsi="Tahoma" w:cs="Tahoma"/>
          <w:b/>
          <w:u w:val="single"/>
        </w:rPr>
        <w:t>Programme</w:t>
      </w:r>
      <w:proofErr w:type="spellEnd"/>
    </w:p>
    <w:p w:rsidR="00D721DD" w:rsidRDefault="00D721DD" w:rsidP="00D721DD">
      <w:pPr>
        <w:spacing w:line="360" w:lineRule="auto"/>
        <w:rPr>
          <w:rFonts w:ascii="Tahoma" w:hAnsi="Tahoma" w:cs="Tahoma"/>
          <w:b/>
        </w:rPr>
      </w:pPr>
    </w:p>
    <w:p w:rsidR="00D721DD" w:rsidRDefault="00D721DD" w:rsidP="00D721DD">
      <w:pPr>
        <w:ind w:left="5760" w:hanging="57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Name of the </w:t>
      </w:r>
      <w:r w:rsidRPr="004F2D0F">
        <w:rPr>
          <w:rFonts w:ascii="Tahoma" w:hAnsi="Tahoma" w:cs="Tahoma"/>
          <w:b/>
        </w:rPr>
        <w:t xml:space="preserve">Training </w:t>
      </w:r>
      <w:proofErr w:type="spellStart"/>
      <w:r w:rsidRPr="004F2D0F">
        <w:rPr>
          <w:rFonts w:ascii="Tahoma" w:hAnsi="Tahoma" w:cs="Tahoma"/>
          <w:b/>
        </w:rPr>
        <w:t>Programme</w:t>
      </w:r>
      <w:proofErr w:type="spellEnd"/>
      <w:r>
        <w:rPr>
          <w:rFonts w:ascii="Tahoma" w:hAnsi="Tahoma" w:cs="Tahoma"/>
          <w:b/>
        </w:rPr>
        <w:tab/>
        <w:t>:</w:t>
      </w:r>
      <w:r w:rsidR="00FE5A69">
        <w:rPr>
          <w:rFonts w:ascii="Tahoma" w:hAnsi="Tahoma" w:cs="Tahoma"/>
          <w:b/>
        </w:rPr>
        <w:t xml:space="preserve"> </w:t>
      </w:r>
      <w:r w:rsidRPr="004F2D0F">
        <w:rPr>
          <w:rFonts w:ascii="Tahoma" w:hAnsi="Tahoma" w:cs="Tahoma"/>
          <w:b/>
        </w:rPr>
        <w:t xml:space="preserve">E-waste </w:t>
      </w:r>
      <w:r>
        <w:rPr>
          <w:rFonts w:ascii="Tahoma" w:hAnsi="Tahoma" w:cs="Tahoma"/>
          <w:b/>
        </w:rPr>
        <w:t xml:space="preserve">Management &amp;  </w:t>
      </w:r>
    </w:p>
    <w:p w:rsidR="00D721DD" w:rsidRDefault="00D721DD" w:rsidP="00D721DD">
      <w:pPr>
        <w:ind w:left="57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Recycling</w:t>
      </w:r>
    </w:p>
    <w:p w:rsidR="00D721DD" w:rsidRPr="00D721DD" w:rsidRDefault="00D721DD" w:rsidP="00D721DD">
      <w:pPr>
        <w:ind w:left="5760"/>
        <w:jc w:val="both"/>
        <w:rPr>
          <w:rFonts w:ascii="Tahoma" w:hAnsi="Tahoma" w:cs="Tahoma"/>
          <w:b/>
        </w:rPr>
      </w:pPr>
    </w:p>
    <w:p w:rsidR="00D721DD" w:rsidRPr="004F2D0F" w:rsidRDefault="00D721DD" w:rsidP="00D721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Batch size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F2D0F">
        <w:rPr>
          <w:rFonts w:ascii="Arial" w:hAnsi="Arial" w:cs="Arial"/>
          <w:b/>
        </w:rPr>
        <w:t xml:space="preserve">: </w:t>
      </w:r>
      <w:r w:rsidR="00FE5A69">
        <w:rPr>
          <w:rFonts w:ascii="Arial" w:hAnsi="Arial" w:cs="Arial"/>
          <w:b/>
        </w:rPr>
        <w:t xml:space="preserve">10 to </w:t>
      </w:r>
      <w:r w:rsidRPr="004F2D0F">
        <w:rPr>
          <w:rFonts w:ascii="Arial" w:hAnsi="Arial" w:cs="Arial"/>
          <w:b/>
        </w:rPr>
        <w:t xml:space="preserve">20 Participants </w:t>
      </w:r>
    </w:p>
    <w:p w:rsidR="00D721DD" w:rsidRDefault="00D721DD" w:rsidP="00D721DD">
      <w:pPr>
        <w:rPr>
          <w:rFonts w:ascii="Arial" w:hAnsi="Arial" w:cs="Arial"/>
          <w:b/>
        </w:rPr>
      </w:pPr>
    </w:p>
    <w:p w:rsidR="00D721DD" w:rsidRDefault="00D721DD" w:rsidP="00D721D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Duration of the </w:t>
      </w:r>
      <w:proofErr w:type="spellStart"/>
      <w:r>
        <w:rPr>
          <w:rFonts w:ascii="Arial" w:hAnsi="Arial" w:cs="Arial"/>
          <w:b/>
        </w:rPr>
        <w:t>programme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02 weeks</w:t>
      </w:r>
    </w:p>
    <w:p w:rsidR="00D721DD" w:rsidRPr="007520FA" w:rsidRDefault="00D721DD" w:rsidP="00D721DD">
      <w:pPr>
        <w:spacing w:line="276" w:lineRule="auto"/>
        <w:ind w:right="7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Course content:</w:t>
      </w:r>
    </w:p>
    <w:tbl>
      <w:tblPr>
        <w:tblStyle w:val="TableGrid"/>
        <w:tblW w:w="9606" w:type="dxa"/>
        <w:tblLook w:val="04A0"/>
      </w:tblPr>
      <w:tblGrid>
        <w:gridCol w:w="1101"/>
        <w:gridCol w:w="8505"/>
      </w:tblGrid>
      <w:tr w:rsidR="00D721DD" w:rsidRPr="00887279" w:rsidTr="00433C4F">
        <w:tc>
          <w:tcPr>
            <w:tcW w:w="1101" w:type="dxa"/>
          </w:tcPr>
          <w:p w:rsidR="00D721DD" w:rsidRPr="00887279" w:rsidRDefault="00D721DD" w:rsidP="00433C4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87279">
              <w:rPr>
                <w:rFonts w:ascii="Arial" w:hAnsi="Arial" w:cs="Arial"/>
                <w:b/>
                <w:bCs/>
              </w:rPr>
              <w:t>S.No</w:t>
            </w:r>
            <w:proofErr w:type="spellEnd"/>
            <w:r w:rsidRPr="0088727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505" w:type="dxa"/>
          </w:tcPr>
          <w:p w:rsidR="00D721DD" w:rsidRPr="00887279" w:rsidRDefault="00D721DD" w:rsidP="00433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887279">
              <w:rPr>
                <w:rFonts w:ascii="Arial" w:hAnsi="Arial" w:cs="Arial"/>
                <w:b/>
                <w:bCs/>
              </w:rPr>
              <w:t>Content</w:t>
            </w:r>
          </w:p>
        </w:tc>
      </w:tr>
      <w:tr w:rsidR="00D721DD" w:rsidRPr="00887279" w:rsidTr="00485805">
        <w:tc>
          <w:tcPr>
            <w:tcW w:w="1101" w:type="dxa"/>
            <w:vAlign w:val="center"/>
          </w:tcPr>
          <w:p w:rsidR="00D721DD" w:rsidRPr="00887279" w:rsidRDefault="00D721DD" w:rsidP="00485805">
            <w:pPr>
              <w:jc w:val="center"/>
              <w:rPr>
                <w:rFonts w:ascii="Arial" w:hAnsi="Arial" w:cs="Arial"/>
                <w:b/>
                <w:bCs/>
              </w:rPr>
            </w:pPr>
            <w:r w:rsidRPr="0088727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05" w:type="dxa"/>
          </w:tcPr>
          <w:p w:rsidR="00D721DD" w:rsidRDefault="00D721DD" w:rsidP="00433C4F">
            <w:pPr>
              <w:jc w:val="both"/>
              <w:rPr>
                <w:rFonts w:ascii="Arial" w:hAnsi="Arial" w:cs="Arial"/>
              </w:rPr>
            </w:pPr>
            <w:r w:rsidRPr="00887279">
              <w:rPr>
                <w:rFonts w:ascii="Arial" w:hAnsi="Arial" w:cs="Arial"/>
                <w:b/>
                <w:bCs/>
              </w:rPr>
              <w:t>Introduction of Electronic waste (E-waste):</w:t>
            </w:r>
          </w:p>
          <w:p w:rsidR="00D721DD" w:rsidRPr="00730F6B" w:rsidRDefault="00D721DD" w:rsidP="00433C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</w:t>
            </w:r>
            <w:r w:rsidRPr="00474697">
              <w:rPr>
                <w:rFonts w:ascii="Arial" w:hAnsi="Arial" w:cs="Arial"/>
              </w:rPr>
              <w:t xml:space="preserve">E-waste, </w:t>
            </w:r>
            <w:r>
              <w:rPr>
                <w:rFonts w:ascii="Arial" w:hAnsi="Arial" w:cs="Arial"/>
              </w:rPr>
              <w:t>Constituents of E-waste</w:t>
            </w:r>
            <w:r w:rsidRPr="00474697">
              <w:rPr>
                <w:rFonts w:ascii="Arial" w:hAnsi="Arial" w:cs="Arial"/>
              </w:rPr>
              <w:t xml:space="preserve">, Classification </w:t>
            </w:r>
            <w:r>
              <w:rPr>
                <w:rFonts w:ascii="Arial" w:hAnsi="Arial" w:cs="Arial"/>
              </w:rPr>
              <w:t>of</w:t>
            </w:r>
            <w:r w:rsidRPr="00474697">
              <w:rPr>
                <w:rFonts w:ascii="Arial" w:hAnsi="Arial" w:cs="Arial"/>
              </w:rPr>
              <w:t xml:space="preserve"> E-waste</w:t>
            </w:r>
            <w:r>
              <w:rPr>
                <w:rFonts w:ascii="Arial" w:hAnsi="Arial" w:cs="Arial"/>
              </w:rPr>
              <w:t xml:space="preserve">, Environmental effect of E-waste – consumption, Effect &amp; Control Measures, </w:t>
            </w:r>
            <w:r w:rsidRPr="00887279">
              <w:rPr>
                <w:rFonts w:ascii="Arial" w:hAnsi="Arial" w:cs="Arial"/>
              </w:rPr>
              <w:t>Global Strategy</w:t>
            </w:r>
            <w:r>
              <w:rPr>
                <w:rFonts w:ascii="Arial" w:hAnsi="Arial" w:cs="Arial"/>
              </w:rPr>
              <w:t xml:space="preserve"> for environmentally sound management of e-waste-Strategies Adopted in develop &amp; developing countries, D</w:t>
            </w:r>
            <w:r w:rsidRPr="00887279">
              <w:rPr>
                <w:rFonts w:ascii="Arial" w:hAnsi="Arial" w:cs="Arial"/>
              </w:rPr>
              <w:t xml:space="preserve">omestic </w:t>
            </w:r>
            <w:r>
              <w:rPr>
                <w:rFonts w:ascii="Arial" w:hAnsi="Arial" w:cs="Arial"/>
              </w:rPr>
              <w:t>E</w:t>
            </w:r>
            <w:r w:rsidRPr="00887279">
              <w:rPr>
                <w:rFonts w:ascii="Arial" w:hAnsi="Arial" w:cs="Arial"/>
              </w:rPr>
              <w:t xml:space="preserve">-waste storage, collection, transfer </w:t>
            </w:r>
            <w:r>
              <w:rPr>
                <w:rFonts w:ascii="Arial" w:hAnsi="Arial" w:cs="Arial"/>
              </w:rPr>
              <w:t>system</w:t>
            </w:r>
            <w:r w:rsidRPr="00887279">
              <w:rPr>
                <w:rFonts w:ascii="Arial" w:hAnsi="Arial" w:cs="Arial"/>
              </w:rPr>
              <w:t>, processing</w:t>
            </w:r>
            <w:r>
              <w:rPr>
                <w:rFonts w:ascii="Arial" w:hAnsi="Arial" w:cs="Arial"/>
              </w:rPr>
              <w:t xml:space="preserve"> and</w:t>
            </w:r>
            <w:r w:rsidRPr="00887279">
              <w:rPr>
                <w:rFonts w:ascii="Arial" w:hAnsi="Arial" w:cs="Arial"/>
              </w:rPr>
              <w:t xml:space="preserve"> disposal</w:t>
            </w:r>
            <w:r>
              <w:rPr>
                <w:rFonts w:ascii="Arial" w:hAnsi="Arial" w:cs="Arial"/>
              </w:rPr>
              <w:t>,</w:t>
            </w:r>
            <w:r w:rsidRPr="00887279">
              <w:rPr>
                <w:rFonts w:ascii="Arial" w:hAnsi="Arial" w:cs="Arial"/>
              </w:rPr>
              <w:t xml:space="preserve"> Basel convention.</w:t>
            </w:r>
          </w:p>
        </w:tc>
      </w:tr>
      <w:tr w:rsidR="00D721DD" w:rsidRPr="00887279" w:rsidTr="00485805">
        <w:tc>
          <w:tcPr>
            <w:tcW w:w="1101" w:type="dxa"/>
            <w:vAlign w:val="center"/>
          </w:tcPr>
          <w:p w:rsidR="00D721DD" w:rsidRPr="00887279" w:rsidRDefault="00D721DD" w:rsidP="004858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05" w:type="dxa"/>
          </w:tcPr>
          <w:p w:rsidR="00D721DD" w:rsidRPr="003F17A8" w:rsidRDefault="00D721DD" w:rsidP="00433C4F">
            <w:pPr>
              <w:jc w:val="both"/>
              <w:rPr>
                <w:rFonts w:ascii="Arial" w:hAnsi="Arial" w:cs="Arial"/>
                <w:b/>
                <w:bCs/>
              </w:rPr>
            </w:pPr>
            <w:r w:rsidRPr="003F17A8">
              <w:rPr>
                <w:rFonts w:ascii="Arial" w:hAnsi="Arial" w:cs="Arial"/>
                <w:b/>
                <w:bCs/>
              </w:rPr>
              <w:t xml:space="preserve">Source of E-waste </w:t>
            </w:r>
            <w:proofErr w:type="spellStart"/>
            <w:r w:rsidRPr="003F17A8">
              <w:rPr>
                <w:rFonts w:ascii="Arial" w:hAnsi="Arial" w:cs="Arial"/>
                <w:b/>
                <w:bCs/>
              </w:rPr>
              <w:t>Generationand</w:t>
            </w:r>
            <w:proofErr w:type="spellEnd"/>
            <w:r w:rsidRPr="003F17A8">
              <w:rPr>
                <w:rFonts w:ascii="Arial" w:hAnsi="Arial" w:cs="Arial"/>
                <w:b/>
                <w:bCs/>
              </w:rPr>
              <w:t xml:space="preserve"> its impact:</w:t>
            </w:r>
          </w:p>
          <w:p w:rsidR="00D721DD" w:rsidRPr="00730F6B" w:rsidRDefault="00D721DD" w:rsidP="00433C4F">
            <w:pPr>
              <w:jc w:val="both"/>
              <w:rPr>
                <w:rFonts w:ascii="Arial" w:hAnsi="Arial" w:cs="Arial"/>
                <w:color w:val="FF0000"/>
              </w:rPr>
            </w:pPr>
            <w:r w:rsidRPr="00730F6B">
              <w:rPr>
                <w:rFonts w:ascii="Arial" w:hAnsi="Arial" w:cs="Arial"/>
              </w:rPr>
              <w:t>Availability and Socio-Economic Characteristics,</w:t>
            </w:r>
            <w:r w:rsidRPr="00887279">
              <w:rPr>
                <w:rFonts w:ascii="Arial" w:hAnsi="Arial" w:cs="Arial"/>
              </w:rPr>
              <w:t xml:space="preserve"> Hazardous substances </w:t>
            </w:r>
            <w:r>
              <w:rPr>
                <w:rFonts w:ascii="Arial" w:hAnsi="Arial" w:cs="Arial"/>
              </w:rPr>
              <w:t>present in E-waste</w:t>
            </w:r>
            <w:r w:rsidRPr="00887279">
              <w:rPr>
                <w:rFonts w:ascii="Arial" w:hAnsi="Arial" w:cs="Arial"/>
              </w:rPr>
              <w:t xml:space="preserve">, Characteristics of Hazardous substances in </w:t>
            </w:r>
            <w:r>
              <w:rPr>
                <w:rFonts w:ascii="Arial" w:hAnsi="Arial" w:cs="Arial"/>
              </w:rPr>
              <w:t>E-</w:t>
            </w:r>
            <w:r w:rsidRPr="00887279">
              <w:rPr>
                <w:rFonts w:ascii="Arial" w:hAnsi="Arial" w:cs="Arial"/>
              </w:rPr>
              <w:t>waste</w:t>
            </w:r>
            <w:r>
              <w:rPr>
                <w:rFonts w:ascii="Arial" w:hAnsi="Arial" w:cs="Arial"/>
              </w:rPr>
              <w:t xml:space="preserve">, Environmental Impact of </w:t>
            </w:r>
            <w:r w:rsidRPr="00474697">
              <w:rPr>
                <w:rFonts w:ascii="Arial" w:hAnsi="Arial" w:cs="Arial"/>
              </w:rPr>
              <w:t xml:space="preserve">first, second and third </w:t>
            </w:r>
            <w:r>
              <w:rPr>
                <w:rFonts w:ascii="Arial" w:hAnsi="Arial" w:cs="Arial"/>
              </w:rPr>
              <w:t>generation E-waste.</w:t>
            </w:r>
          </w:p>
        </w:tc>
      </w:tr>
      <w:tr w:rsidR="00D721DD" w:rsidRPr="00887279" w:rsidTr="00485805">
        <w:tc>
          <w:tcPr>
            <w:tcW w:w="1101" w:type="dxa"/>
            <w:vAlign w:val="center"/>
          </w:tcPr>
          <w:p w:rsidR="00D721DD" w:rsidRPr="00887279" w:rsidRDefault="00D721DD" w:rsidP="004858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05" w:type="dxa"/>
          </w:tcPr>
          <w:p w:rsidR="00D721DD" w:rsidRPr="00887279" w:rsidRDefault="00D721DD" w:rsidP="00433C4F">
            <w:pPr>
              <w:jc w:val="both"/>
              <w:rPr>
                <w:rFonts w:ascii="Arial" w:hAnsi="Arial" w:cs="Arial"/>
                <w:b/>
                <w:bCs/>
              </w:rPr>
            </w:pPr>
            <w:r w:rsidRPr="00887279">
              <w:rPr>
                <w:rFonts w:ascii="Arial" w:hAnsi="Arial" w:cs="Arial"/>
                <w:b/>
                <w:bCs/>
              </w:rPr>
              <w:t xml:space="preserve">Legislation for Management of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887279">
              <w:rPr>
                <w:rFonts w:ascii="Arial" w:hAnsi="Arial" w:cs="Arial"/>
                <w:b/>
                <w:bCs/>
              </w:rPr>
              <w:t>-waste:</w:t>
            </w:r>
          </w:p>
          <w:p w:rsidR="00D721DD" w:rsidRPr="00887279" w:rsidRDefault="00D721DD" w:rsidP="00433C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887279">
              <w:rPr>
                <w:rFonts w:ascii="Arial" w:hAnsi="Arial" w:cs="Arial"/>
              </w:rPr>
              <w:t>-waste Management and handling rules</w:t>
            </w:r>
            <w:r>
              <w:rPr>
                <w:rFonts w:ascii="Arial" w:hAnsi="Arial" w:cs="Arial"/>
              </w:rPr>
              <w:t xml:space="preserve">, </w:t>
            </w:r>
            <w:r w:rsidRPr="00887279">
              <w:rPr>
                <w:rFonts w:ascii="Arial" w:hAnsi="Arial" w:cs="Arial"/>
              </w:rPr>
              <w:t xml:space="preserve">Major sections of hazardous waste (Management, Handling and </w:t>
            </w:r>
            <w:proofErr w:type="spellStart"/>
            <w:r w:rsidRPr="00887279">
              <w:rPr>
                <w:rFonts w:ascii="Arial" w:hAnsi="Arial" w:cs="Arial"/>
              </w:rPr>
              <w:t>Transboundary</w:t>
            </w:r>
            <w:proofErr w:type="spellEnd"/>
            <w:r w:rsidRPr="00887279">
              <w:rPr>
                <w:rFonts w:ascii="Arial" w:hAnsi="Arial" w:cs="Arial"/>
              </w:rPr>
              <w:t xml:space="preserve"> Movement) Rules, </w:t>
            </w:r>
            <w:r>
              <w:rPr>
                <w:rFonts w:ascii="Arial" w:hAnsi="Arial" w:cs="Arial"/>
              </w:rPr>
              <w:t>H</w:t>
            </w:r>
            <w:r w:rsidRPr="00887279">
              <w:rPr>
                <w:rFonts w:ascii="Arial" w:hAnsi="Arial" w:cs="Arial"/>
              </w:rPr>
              <w:t xml:space="preserve">azardous waste (Management and handling) rules </w:t>
            </w:r>
            <w:r>
              <w:rPr>
                <w:rFonts w:ascii="Arial" w:hAnsi="Arial" w:cs="Arial"/>
              </w:rPr>
              <w:t xml:space="preserve">2016 &amp; 2018 </w:t>
            </w:r>
            <w:r w:rsidRPr="00887279">
              <w:rPr>
                <w:rFonts w:ascii="Arial" w:hAnsi="Arial" w:cs="Arial"/>
              </w:rPr>
              <w:t xml:space="preserve">with </w:t>
            </w:r>
            <w:proofErr w:type="spellStart"/>
            <w:r w:rsidRPr="00887279">
              <w:rPr>
                <w:rFonts w:ascii="Arial" w:hAnsi="Arial" w:cs="Arial"/>
              </w:rPr>
              <w:t>amendments</w:t>
            </w:r>
            <w:r>
              <w:rPr>
                <w:rFonts w:ascii="Arial" w:hAnsi="Arial" w:cs="Arial"/>
              </w:rPr>
              <w:t>,</w:t>
            </w:r>
            <w:r w:rsidRPr="00F24B5E">
              <w:rPr>
                <w:rFonts w:ascii="Arial" w:hAnsi="Arial" w:cs="Arial"/>
              </w:rPr>
              <w:t>The</w:t>
            </w:r>
            <w:proofErr w:type="spellEnd"/>
            <w:r w:rsidRPr="00F24B5E">
              <w:rPr>
                <w:rFonts w:ascii="Arial" w:hAnsi="Arial" w:cs="Arial"/>
              </w:rPr>
              <w:t xml:space="preserve"> Directive on waste electrical and electronic equipment (WEEE Directive) and the Directive on the restriction of the use of certain hazardous substances in electrical and electronic equipment (</w:t>
            </w:r>
            <w:proofErr w:type="spellStart"/>
            <w:r w:rsidRPr="00F24B5E">
              <w:rPr>
                <w:rFonts w:ascii="Arial" w:hAnsi="Arial" w:cs="Arial"/>
              </w:rPr>
              <w:t>RoHS</w:t>
            </w:r>
            <w:proofErr w:type="spellEnd"/>
            <w:r w:rsidRPr="00F24B5E">
              <w:rPr>
                <w:rFonts w:ascii="Arial" w:hAnsi="Arial" w:cs="Arial"/>
              </w:rPr>
              <w:t xml:space="preserve"> Directive)</w:t>
            </w:r>
            <w:r>
              <w:rPr>
                <w:rFonts w:ascii="Arial" w:hAnsi="Arial" w:cs="Arial"/>
              </w:rPr>
              <w:t xml:space="preserve">, </w:t>
            </w:r>
            <w:hyperlink r:id="rId4" w:history="1">
              <w:r w:rsidRPr="00F24B5E">
                <w:rPr>
                  <w:rFonts w:ascii="Arial" w:hAnsi="Arial" w:cs="Arial"/>
                </w:rPr>
                <w:t>EU Regulation 2019/290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Pr="00474697">
              <w:rPr>
                <w:rFonts w:ascii="Arial" w:hAnsi="Arial" w:cs="Arial"/>
              </w:rPr>
              <w:t xml:space="preserve">National and Social Policies/ Laws/ Regulations/ Institutional Roles in </w:t>
            </w:r>
            <w:r>
              <w:rPr>
                <w:rFonts w:ascii="Arial" w:hAnsi="Arial" w:cs="Arial"/>
              </w:rPr>
              <w:t>d</w:t>
            </w:r>
            <w:r w:rsidRPr="00474697">
              <w:rPr>
                <w:rFonts w:ascii="Arial" w:hAnsi="Arial" w:cs="Arial"/>
              </w:rPr>
              <w:t>eveloped</w:t>
            </w:r>
            <w:r>
              <w:rPr>
                <w:rFonts w:ascii="Arial" w:hAnsi="Arial" w:cs="Arial"/>
              </w:rPr>
              <w:t>&amp; developing</w:t>
            </w:r>
            <w:r w:rsidRPr="00474697">
              <w:rPr>
                <w:rFonts w:ascii="Arial" w:hAnsi="Arial" w:cs="Arial"/>
              </w:rPr>
              <w:t xml:space="preserve"> Countries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D721DD" w:rsidRPr="00887279" w:rsidTr="00485805">
        <w:tc>
          <w:tcPr>
            <w:tcW w:w="1101" w:type="dxa"/>
            <w:vAlign w:val="center"/>
          </w:tcPr>
          <w:p w:rsidR="00D721DD" w:rsidRPr="00887279" w:rsidRDefault="00D721DD" w:rsidP="004858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505" w:type="dxa"/>
          </w:tcPr>
          <w:p w:rsidR="00D721DD" w:rsidRPr="00887279" w:rsidRDefault="00D721DD" w:rsidP="00433C4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Pr="00887279">
              <w:rPr>
                <w:rFonts w:ascii="Arial" w:hAnsi="Arial" w:cs="Arial"/>
                <w:b/>
                <w:bCs/>
              </w:rPr>
              <w:t xml:space="preserve">ecycling </w:t>
            </w:r>
            <w:r>
              <w:rPr>
                <w:rFonts w:ascii="Arial" w:hAnsi="Arial" w:cs="Arial"/>
                <w:b/>
                <w:bCs/>
              </w:rPr>
              <w:t>of E-waste :</w:t>
            </w:r>
          </w:p>
          <w:p w:rsidR="00D721DD" w:rsidRDefault="00D721DD" w:rsidP="00433C4F">
            <w:pPr>
              <w:jc w:val="both"/>
              <w:rPr>
                <w:rFonts w:ascii="Arial" w:hAnsi="Arial" w:cs="Arial"/>
              </w:rPr>
            </w:pPr>
            <w:r w:rsidRPr="00887279">
              <w:rPr>
                <w:rFonts w:ascii="Arial" w:hAnsi="Arial" w:cs="Arial"/>
              </w:rPr>
              <w:t xml:space="preserve">Sustainable waste management practices, 4R principle for e-waste management. </w:t>
            </w:r>
            <w:proofErr w:type="spellStart"/>
            <w:r w:rsidRPr="00887279">
              <w:rPr>
                <w:rFonts w:ascii="Arial" w:hAnsi="Arial" w:cs="Arial"/>
              </w:rPr>
              <w:t>Physico</w:t>
            </w:r>
            <w:proofErr w:type="spellEnd"/>
            <w:r w:rsidRPr="00887279">
              <w:rPr>
                <w:rFonts w:ascii="Arial" w:hAnsi="Arial" w:cs="Arial"/>
              </w:rPr>
              <w:t xml:space="preserve">-mechanical methods of treating </w:t>
            </w:r>
            <w:r>
              <w:rPr>
                <w:rFonts w:ascii="Arial" w:hAnsi="Arial" w:cs="Arial"/>
              </w:rPr>
              <w:t>E</w:t>
            </w:r>
            <w:r w:rsidRPr="00887279">
              <w:rPr>
                <w:rFonts w:ascii="Arial" w:hAnsi="Arial" w:cs="Arial"/>
              </w:rPr>
              <w:t>-waste.  Thermo-chemical methods (</w:t>
            </w:r>
            <w:proofErr w:type="spellStart"/>
            <w:r w:rsidRPr="00887279">
              <w:rPr>
                <w:rFonts w:ascii="Arial" w:hAnsi="Arial" w:cs="Arial"/>
              </w:rPr>
              <w:t>Pyrolysis</w:t>
            </w:r>
            <w:proofErr w:type="spellEnd"/>
            <w:r w:rsidRPr="00887279">
              <w:rPr>
                <w:rFonts w:ascii="Arial" w:hAnsi="Arial" w:cs="Arial"/>
              </w:rPr>
              <w:t xml:space="preserve">, gasification and incineration) of treating </w:t>
            </w:r>
            <w:r>
              <w:rPr>
                <w:rFonts w:ascii="Arial" w:hAnsi="Arial" w:cs="Arial"/>
              </w:rPr>
              <w:t>E-</w:t>
            </w:r>
            <w:r w:rsidRPr="00887279">
              <w:rPr>
                <w:rFonts w:ascii="Arial" w:hAnsi="Arial" w:cs="Arial"/>
              </w:rPr>
              <w:t xml:space="preserve">waste. </w:t>
            </w:r>
          </w:p>
          <w:p w:rsidR="00D721DD" w:rsidRPr="00887279" w:rsidRDefault="00D721DD" w:rsidP="00433C4F">
            <w:pPr>
              <w:jc w:val="both"/>
              <w:rPr>
                <w:rFonts w:ascii="Arial" w:hAnsi="Arial" w:cs="Arial"/>
              </w:rPr>
            </w:pPr>
            <w:r w:rsidRPr="0088727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-waste processing and disposal, </w:t>
            </w:r>
            <w:r w:rsidRPr="00887279">
              <w:rPr>
                <w:rFonts w:ascii="Arial" w:hAnsi="Arial" w:cs="Arial"/>
              </w:rPr>
              <w:t xml:space="preserve">Technologies for recovery of resources from </w:t>
            </w:r>
            <w:r>
              <w:rPr>
                <w:rFonts w:ascii="Arial" w:hAnsi="Arial" w:cs="Arial"/>
              </w:rPr>
              <w:t>E-</w:t>
            </w:r>
            <w:r w:rsidRPr="00887279">
              <w:rPr>
                <w:rFonts w:ascii="Arial" w:hAnsi="Arial" w:cs="Arial"/>
              </w:rPr>
              <w:t>waste</w:t>
            </w:r>
            <w:r>
              <w:rPr>
                <w:rFonts w:ascii="Arial" w:hAnsi="Arial" w:cs="Arial"/>
              </w:rPr>
              <w:t>.</w:t>
            </w:r>
          </w:p>
        </w:tc>
      </w:tr>
      <w:tr w:rsidR="00D721DD" w:rsidRPr="00887279" w:rsidTr="00485805">
        <w:tc>
          <w:tcPr>
            <w:tcW w:w="1101" w:type="dxa"/>
            <w:vAlign w:val="center"/>
          </w:tcPr>
          <w:p w:rsidR="00D721DD" w:rsidRPr="00887279" w:rsidRDefault="00D721DD" w:rsidP="004858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05" w:type="dxa"/>
          </w:tcPr>
          <w:p w:rsidR="00D721DD" w:rsidRDefault="00D721DD" w:rsidP="00433C4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Recycling of plastics from E</w:t>
            </w:r>
            <w:r w:rsidRPr="00887279">
              <w:rPr>
                <w:rFonts w:ascii="Arial" w:hAnsi="Arial" w:cs="Arial"/>
                <w:b/>
                <w:bCs/>
              </w:rPr>
              <w:t xml:space="preserve">-waste: </w:t>
            </w:r>
          </w:p>
          <w:p w:rsidR="00D721DD" w:rsidRPr="00CC2F96" w:rsidRDefault="00D721DD" w:rsidP="00433C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Plastics in E-waste, Life cycle analysis of E-waste plastics, Identification and segregation of plastics, </w:t>
            </w:r>
            <w:r w:rsidRPr="00CC2F96">
              <w:rPr>
                <w:rFonts w:ascii="Arial" w:hAnsi="Arial" w:cs="Arial"/>
              </w:rPr>
              <w:t>E-waste re-processing techniques such as collection, sorting, grinding, density separation technique, washing and drying process, micro-pulverizing, stripping, electrostatic separator, hammering, cyclone separator for grinded plastic waste</w:t>
            </w:r>
            <w:r>
              <w:rPr>
                <w:rFonts w:ascii="Arial" w:hAnsi="Arial" w:cs="Arial"/>
              </w:rPr>
              <w:t>, Value addition of plastics and metal waste</w:t>
            </w:r>
            <w:r w:rsidRPr="00CC2F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F6784">
              <w:rPr>
                <w:rFonts w:ascii="Arial" w:hAnsi="Arial" w:cs="Arial"/>
              </w:rPr>
              <w:t xml:space="preserve">Case studies on recycling approach of </w:t>
            </w:r>
            <w:r>
              <w:rPr>
                <w:rFonts w:ascii="Arial" w:hAnsi="Arial" w:cs="Arial"/>
              </w:rPr>
              <w:t>E</w:t>
            </w:r>
            <w:r w:rsidRPr="007F6784">
              <w:rPr>
                <w:rFonts w:ascii="Arial" w:hAnsi="Arial" w:cs="Arial"/>
              </w:rPr>
              <w:t>-waste in different countries.</w:t>
            </w:r>
          </w:p>
        </w:tc>
      </w:tr>
      <w:tr w:rsidR="00D721DD" w:rsidRPr="00887279" w:rsidTr="00485805">
        <w:tc>
          <w:tcPr>
            <w:tcW w:w="1101" w:type="dxa"/>
            <w:vAlign w:val="center"/>
          </w:tcPr>
          <w:p w:rsidR="00D721DD" w:rsidRPr="00887279" w:rsidRDefault="00D721DD" w:rsidP="004858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05" w:type="dxa"/>
          </w:tcPr>
          <w:p w:rsidR="00D721DD" w:rsidRDefault="00D721DD" w:rsidP="00433C4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Advanced</w:t>
            </w:r>
            <w:r w:rsidRPr="00887279">
              <w:rPr>
                <w:rFonts w:ascii="Arial" w:hAnsi="Arial" w:cs="Arial"/>
                <w:b/>
                <w:bCs/>
              </w:rPr>
              <w:t xml:space="preserve"> characterization </w:t>
            </w:r>
            <w:r>
              <w:rPr>
                <w:rFonts w:ascii="Arial" w:hAnsi="Arial" w:cs="Arial"/>
                <w:b/>
                <w:bCs/>
              </w:rPr>
              <w:t>study for plastics from E-waste</w:t>
            </w:r>
            <w:r w:rsidRPr="00887279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D721DD" w:rsidRPr="00730F6B" w:rsidRDefault="00D721DD" w:rsidP="00433C4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Advance characterization technique such as </w:t>
            </w:r>
            <w:r w:rsidRPr="00887279">
              <w:rPr>
                <w:rFonts w:ascii="Arial" w:hAnsi="Arial" w:cs="Arial"/>
              </w:rPr>
              <w:t>Thermal (DSC,</w:t>
            </w:r>
            <w:r>
              <w:rPr>
                <w:rFonts w:ascii="Arial" w:hAnsi="Arial" w:cs="Arial"/>
              </w:rPr>
              <w:t xml:space="preserve"> </w:t>
            </w:r>
            <w:r w:rsidRPr="00887279">
              <w:rPr>
                <w:rFonts w:ascii="Arial" w:hAnsi="Arial" w:cs="Arial"/>
              </w:rPr>
              <w:t>TGA,</w:t>
            </w:r>
            <w:r>
              <w:rPr>
                <w:rFonts w:ascii="Arial" w:hAnsi="Arial" w:cs="Arial"/>
              </w:rPr>
              <w:t xml:space="preserve"> </w:t>
            </w:r>
            <w:r w:rsidRPr="00887279">
              <w:rPr>
                <w:rFonts w:ascii="Arial" w:hAnsi="Arial" w:cs="Arial"/>
              </w:rPr>
              <w:t>DMA analysis), Morphological (SEM,</w:t>
            </w:r>
            <w:r>
              <w:rPr>
                <w:rFonts w:ascii="Arial" w:hAnsi="Arial" w:cs="Arial"/>
              </w:rPr>
              <w:t xml:space="preserve"> </w:t>
            </w:r>
            <w:r w:rsidRPr="00887279">
              <w:rPr>
                <w:rFonts w:ascii="Arial" w:hAnsi="Arial" w:cs="Arial"/>
              </w:rPr>
              <w:t>AFM analysis),</w:t>
            </w:r>
            <w:r>
              <w:rPr>
                <w:rFonts w:ascii="Arial" w:hAnsi="Arial" w:cs="Arial"/>
              </w:rPr>
              <w:t xml:space="preserve"> </w:t>
            </w:r>
            <w:r w:rsidRPr="00887279">
              <w:rPr>
                <w:rFonts w:ascii="Arial" w:hAnsi="Arial" w:cs="Arial"/>
              </w:rPr>
              <w:t>Mechanical test (Tensile, impact</w:t>
            </w:r>
            <w:r>
              <w:rPr>
                <w:rFonts w:ascii="Arial" w:hAnsi="Arial" w:cs="Arial"/>
              </w:rPr>
              <w:t xml:space="preserve"> </w:t>
            </w:r>
            <w:r w:rsidRPr="00887279">
              <w:rPr>
                <w:rFonts w:ascii="Arial" w:hAnsi="Arial" w:cs="Arial"/>
              </w:rPr>
              <w:t>test etc.)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D721DD" w:rsidRPr="00887279" w:rsidTr="00485805">
        <w:trPr>
          <w:trHeight w:val="422"/>
        </w:trPr>
        <w:tc>
          <w:tcPr>
            <w:tcW w:w="1101" w:type="dxa"/>
            <w:vAlign w:val="center"/>
          </w:tcPr>
          <w:p w:rsidR="00D721DD" w:rsidRDefault="00D721DD" w:rsidP="004858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505" w:type="dxa"/>
            <w:vAlign w:val="center"/>
          </w:tcPr>
          <w:p w:rsidR="00D721DD" w:rsidRPr="00887279" w:rsidRDefault="00D721DD" w:rsidP="00433C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Study tour to Certified E-waste recycler.</w:t>
            </w:r>
          </w:p>
        </w:tc>
      </w:tr>
    </w:tbl>
    <w:p w:rsidR="006F1AB5" w:rsidRDefault="006F1AB5" w:rsidP="00D721DD"/>
    <w:sectPr w:rsidR="006F1AB5" w:rsidSect="00D721D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1DD"/>
    <w:rsid w:val="00485805"/>
    <w:rsid w:val="00490348"/>
    <w:rsid w:val="006F1AB5"/>
    <w:rsid w:val="00826951"/>
    <w:rsid w:val="00D721DD"/>
    <w:rsid w:val="00F80BC0"/>
    <w:rsid w:val="00FE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1D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-lex.europa.eu/legal-content/EN/TXT/?uri=uriserv:OJ.L_.2019.048.01.0006.01.ENG&amp;toc=OJ:L:2019:048:TOC%2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usert</cp:lastModifiedBy>
  <cp:revision>2</cp:revision>
  <dcterms:created xsi:type="dcterms:W3CDTF">2020-01-28T12:30:00Z</dcterms:created>
  <dcterms:modified xsi:type="dcterms:W3CDTF">2020-01-28T12:30:00Z</dcterms:modified>
</cp:coreProperties>
</file>