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0A59" w14:textId="77777777" w:rsidR="001C0B36" w:rsidRDefault="005571EC" w:rsidP="00004A97">
      <w:pPr>
        <w:jc w:val="center"/>
        <w:rPr>
          <w:b/>
        </w:rPr>
      </w:pPr>
      <w:r w:rsidRPr="00004A97">
        <w:rPr>
          <w:b/>
        </w:rPr>
        <w:t>International Diploma in Educational Planning and Administration</w:t>
      </w:r>
      <w:r w:rsidR="001C0B36">
        <w:rPr>
          <w:b/>
        </w:rPr>
        <w:t xml:space="preserve"> </w:t>
      </w:r>
      <w:r w:rsidR="00952397">
        <w:rPr>
          <w:b/>
        </w:rPr>
        <w:t>(IDEPA-XXXV</w:t>
      </w:r>
      <w:r w:rsidR="00E1785A">
        <w:rPr>
          <w:b/>
        </w:rPr>
        <w:t>I</w:t>
      </w:r>
      <w:r w:rsidR="00A07FC2">
        <w:rPr>
          <w:b/>
        </w:rPr>
        <w:t>I</w:t>
      </w:r>
      <w:r w:rsidRPr="00004A97">
        <w:rPr>
          <w:b/>
        </w:rPr>
        <w:t>)</w:t>
      </w:r>
    </w:p>
    <w:p w14:paraId="2644E667" w14:textId="2C09BFC1" w:rsidR="005571EC" w:rsidRPr="00004A97" w:rsidRDefault="00716902" w:rsidP="00004A97">
      <w:pPr>
        <w:jc w:val="center"/>
        <w:rPr>
          <w:b/>
        </w:rPr>
      </w:pPr>
      <w:r>
        <w:rPr>
          <w:b/>
        </w:rPr>
        <w:t xml:space="preserve">1 February to 30 April, </w:t>
      </w:r>
      <w:r w:rsidR="00E1785A">
        <w:rPr>
          <w:b/>
        </w:rPr>
        <w:t>202</w:t>
      </w:r>
      <w:r w:rsidR="00851B29">
        <w:rPr>
          <w:b/>
        </w:rPr>
        <w:t>3</w:t>
      </w:r>
    </w:p>
    <w:p w14:paraId="3C47D0BD" w14:textId="77777777" w:rsidR="005571EC" w:rsidRPr="00004A97" w:rsidRDefault="005571EC" w:rsidP="00004A97">
      <w:pPr>
        <w:pStyle w:val="Heading1"/>
        <w:ind w:right="0"/>
        <w:jc w:val="left"/>
        <w:rPr>
          <w:color w:val="auto"/>
        </w:rPr>
      </w:pPr>
    </w:p>
    <w:p w14:paraId="2A1FBBE7" w14:textId="77777777" w:rsidR="00D07ED9" w:rsidRPr="00004A97" w:rsidRDefault="00D07ED9" w:rsidP="00004A97">
      <w:pPr>
        <w:pStyle w:val="Heading1"/>
        <w:ind w:right="0"/>
        <w:jc w:val="left"/>
        <w:rPr>
          <w:color w:val="auto"/>
        </w:rPr>
      </w:pPr>
      <w:r w:rsidRPr="00004A97">
        <w:rPr>
          <w:color w:val="auto"/>
        </w:rPr>
        <w:t>AIM</w:t>
      </w:r>
    </w:p>
    <w:p w14:paraId="1E784D35" w14:textId="77777777" w:rsidR="00D07ED9" w:rsidRPr="00004A97" w:rsidRDefault="00D07ED9" w:rsidP="00004A97">
      <w:pPr>
        <w:pStyle w:val="BlockText"/>
        <w:spacing w:after="0"/>
        <w:ind w:left="0" w:right="0"/>
        <w:rPr>
          <w:sz w:val="24"/>
          <w:szCs w:val="24"/>
        </w:rPr>
      </w:pPr>
      <w:r w:rsidRPr="00004A97">
        <w:rPr>
          <w:sz w:val="24"/>
          <w:szCs w:val="24"/>
        </w:rPr>
        <w:t>IDEPA endeavours to promote the spirit of regional cooperation, international understanding and goodwill through exchange of experiences on subject matter and issues important to the development of human resource. With this mission, it aims at augmenting capabilities and competencies in educational planning and administration.</w:t>
      </w:r>
    </w:p>
    <w:p w14:paraId="0836BE41" w14:textId="77777777" w:rsidR="00D07ED9" w:rsidRPr="00004A97" w:rsidRDefault="00D07ED9" w:rsidP="00004A97">
      <w:pPr>
        <w:pStyle w:val="BlockText"/>
        <w:spacing w:after="0"/>
        <w:ind w:left="0" w:right="0"/>
        <w:rPr>
          <w:sz w:val="24"/>
          <w:szCs w:val="24"/>
        </w:rPr>
      </w:pPr>
    </w:p>
    <w:p w14:paraId="372D687B" w14:textId="77777777" w:rsidR="00D07ED9" w:rsidRPr="00004A97" w:rsidRDefault="00D07ED9" w:rsidP="00004A97">
      <w:pPr>
        <w:pStyle w:val="Heading1"/>
        <w:ind w:right="0"/>
        <w:jc w:val="both"/>
        <w:rPr>
          <w:color w:val="auto"/>
        </w:rPr>
      </w:pPr>
      <w:r w:rsidRPr="00004A97">
        <w:rPr>
          <w:color w:val="auto"/>
        </w:rPr>
        <w:t>OBJECTIVES</w:t>
      </w:r>
    </w:p>
    <w:p w14:paraId="640DF83E" w14:textId="77777777" w:rsidR="00D07ED9" w:rsidRDefault="00D07ED9" w:rsidP="00004A97">
      <w:pPr>
        <w:numPr>
          <w:ilvl w:val="3"/>
          <w:numId w:val="1"/>
        </w:numPr>
        <w:tabs>
          <w:tab w:val="clear" w:pos="2952"/>
          <w:tab w:val="num" w:pos="162"/>
        </w:tabs>
        <w:ind w:left="162" w:hanging="162"/>
        <w:jc w:val="both"/>
      </w:pPr>
      <w:r w:rsidRPr="00004A97">
        <w:t xml:space="preserve">The International Diploma Programme has gained its uniqueness over the years by continual updating of its objectives and course structures in order to keep pace with the changing scenario.  The Programme in general strives to understand educational developments in the developing countries with particular reference to policy, planning and management, especially on quality and equity issues relating to school, vocational and higher education. </w:t>
      </w:r>
    </w:p>
    <w:p w14:paraId="06F96042" w14:textId="77777777" w:rsidR="00004A97" w:rsidRPr="00004A97" w:rsidRDefault="00004A97" w:rsidP="00004A97">
      <w:pPr>
        <w:ind w:left="162"/>
        <w:jc w:val="both"/>
      </w:pPr>
    </w:p>
    <w:p w14:paraId="27EE6F83" w14:textId="77777777" w:rsidR="00D07ED9" w:rsidRPr="00004A97" w:rsidRDefault="00D07ED9" w:rsidP="00004A97">
      <w:pPr>
        <w:numPr>
          <w:ilvl w:val="3"/>
          <w:numId w:val="1"/>
        </w:numPr>
        <w:tabs>
          <w:tab w:val="clear" w:pos="2952"/>
          <w:tab w:val="num" w:pos="162"/>
        </w:tabs>
        <w:ind w:left="162" w:hanging="162"/>
        <w:jc w:val="both"/>
      </w:pPr>
      <w:r w:rsidRPr="00004A97">
        <w:t>IDEPA encompasses the principles, concepts and techniques of educational planning, supervision, administration, management and leadership for fulfilling the national goals and meeting local requirements of various countries.  In this regard, it tries to develop skills of analysis, statistical interpretation, forecasting, project preparation for macro and micro level educational planning, on the one hand, and effective managerial leadership skills in educational administration, project management and programme implementation on the other.</w:t>
      </w:r>
    </w:p>
    <w:p w14:paraId="0138BC86" w14:textId="77777777" w:rsidR="00D07ED9" w:rsidRPr="00004A97" w:rsidRDefault="00D07ED9" w:rsidP="00004A97">
      <w:pPr>
        <w:ind w:left="162"/>
        <w:jc w:val="both"/>
      </w:pPr>
    </w:p>
    <w:tbl>
      <w:tblPr>
        <w:tblStyle w:val="TableGrid"/>
        <w:tblW w:w="0" w:type="auto"/>
        <w:jc w:val="center"/>
        <w:tblLook w:val="04A0" w:firstRow="1" w:lastRow="0" w:firstColumn="1" w:lastColumn="0" w:noHBand="0" w:noVBand="1"/>
      </w:tblPr>
      <w:tblGrid>
        <w:gridCol w:w="1656"/>
        <w:gridCol w:w="5580"/>
      </w:tblGrid>
      <w:tr w:rsidR="00D07ED9" w:rsidRPr="00004A97" w14:paraId="75FA5ED3" w14:textId="77777777" w:rsidTr="005571EC">
        <w:trPr>
          <w:jc w:val="center"/>
        </w:trPr>
        <w:tc>
          <w:tcPr>
            <w:tcW w:w="1656" w:type="dxa"/>
          </w:tcPr>
          <w:p w14:paraId="78A5228A" w14:textId="77777777" w:rsidR="00D07ED9" w:rsidRPr="00004A97" w:rsidRDefault="00D07ED9" w:rsidP="00004A97">
            <w:pPr>
              <w:rPr>
                <w:sz w:val="24"/>
              </w:rPr>
            </w:pPr>
            <w:r w:rsidRPr="00004A97">
              <w:rPr>
                <w:sz w:val="24"/>
              </w:rPr>
              <w:t>Course Code</w:t>
            </w:r>
          </w:p>
        </w:tc>
        <w:tc>
          <w:tcPr>
            <w:tcW w:w="5580" w:type="dxa"/>
          </w:tcPr>
          <w:p w14:paraId="722AFB5F" w14:textId="77777777" w:rsidR="00D07ED9" w:rsidRPr="00004A97" w:rsidRDefault="00D07ED9" w:rsidP="00004A97">
            <w:pPr>
              <w:rPr>
                <w:sz w:val="24"/>
              </w:rPr>
            </w:pPr>
            <w:r w:rsidRPr="00004A97">
              <w:rPr>
                <w:sz w:val="24"/>
              </w:rPr>
              <w:t>Course Name</w:t>
            </w:r>
          </w:p>
        </w:tc>
      </w:tr>
      <w:tr w:rsidR="00D07ED9" w:rsidRPr="00004A97" w14:paraId="5B10B50F" w14:textId="77777777" w:rsidTr="005571EC">
        <w:trPr>
          <w:jc w:val="center"/>
        </w:trPr>
        <w:tc>
          <w:tcPr>
            <w:tcW w:w="1656" w:type="dxa"/>
          </w:tcPr>
          <w:p w14:paraId="2114B379" w14:textId="77777777" w:rsidR="00D07ED9" w:rsidRPr="00004A97" w:rsidRDefault="00D07ED9" w:rsidP="00004A97">
            <w:pPr>
              <w:jc w:val="both"/>
              <w:rPr>
                <w:sz w:val="24"/>
              </w:rPr>
            </w:pPr>
            <w:r w:rsidRPr="00004A97">
              <w:rPr>
                <w:sz w:val="24"/>
              </w:rPr>
              <w:t>201</w:t>
            </w:r>
          </w:p>
        </w:tc>
        <w:tc>
          <w:tcPr>
            <w:tcW w:w="5580" w:type="dxa"/>
          </w:tcPr>
          <w:p w14:paraId="3235F54F" w14:textId="77777777" w:rsidR="00D07ED9" w:rsidRPr="00004A97" w:rsidRDefault="00426AFC" w:rsidP="00004A97">
            <w:pPr>
              <w:pStyle w:val="BodyTextIndent"/>
              <w:tabs>
                <w:tab w:val="left" w:pos="2880"/>
                <w:tab w:val="left" w:pos="3600"/>
                <w:tab w:val="left" w:pos="4320"/>
                <w:tab w:val="left" w:pos="5040"/>
                <w:tab w:val="left" w:pos="7920"/>
              </w:tabs>
              <w:ind w:firstLine="0"/>
              <w:rPr>
                <w:sz w:val="24"/>
              </w:rPr>
            </w:pPr>
            <w:r>
              <w:rPr>
                <w:sz w:val="24"/>
              </w:rPr>
              <w:t>Thematic</w:t>
            </w:r>
            <w:r w:rsidR="00D07ED9" w:rsidRPr="00004A97">
              <w:rPr>
                <w:sz w:val="24"/>
              </w:rPr>
              <w:t xml:space="preserve"> Seminar</w:t>
            </w:r>
          </w:p>
        </w:tc>
      </w:tr>
      <w:tr w:rsidR="00D07ED9" w:rsidRPr="00004A97" w14:paraId="0FF53CD4" w14:textId="77777777" w:rsidTr="005571EC">
        <w:trPr>
          <w:jc w:val="center"/>
        </w:trPr>
        <w:tc>
          <w:tcPr>
            <w:tcW w:w="1656" w:type="dxa"/>
          </w:tcPr>
          <w:p w14:paraId="2AFEE6BA" w14:textId="77777777" w:rsidR="00D07ED9" w:rsidRPr="00004A97" w:rsidRDefault="00D07ED9" w:rsidP="00004A97">
            <w:pPr>
              <w:jc w:val="both"/>
              <w:rPr>
                <w:sz w:val="24"/>
              </w:rPr>
            </w:pPr>
            <w:r w:rsidRPr="00004A97">
              <w:rPr>
                <w:sz w:val="24"/>
              </w:rPr>
              <w:t>202</w:t>
            </w:r>
          </w:p>
        </w:tc>
        <w:tc>
          <w:tcPr>
            <w:tcW w:w="5580" w:type="dxa"/>
          </w:tcPr>
          <w:p w14:paraId="0FE64517" w14:textId="77777777" w:rsidR="00D07ED9" w:rsidRPr="00004A97" w:rsidRDefault="00D07ED9" w:rsidP="00004A97">
            <w:pPr>
              <w:rPr>
                <w:sz w:val="24"/>
              </w:rPr>
            </w:pPr>
            <w:r w:rsidRPr="00004A97">
              <w:rPr>
                <w:sz w:val="24"/>
              </w:rPr>
              <w:t>Education and Development: An International Perspective</w:t>
            </w:r>
          </w:p>
        </w:tc>
      </w:tr>
      <w:tr w:rsidR="00D07ED9" w:rsidRPr="00004A97" w14:paraId="6E35C5FB" w14:textId="77777777" w:rsidTr="005571EC">
        <w:trPr>
          <w:jc w:val="center"/>
        </w:trPr>
        <w:tc>
          <w:tcPr>
            <w:tcW w:w="1656" w:type="dxa"/>
          </w:tcPr>
          <w:p w14:paraId="4E2B50B4" w14:textId="77777777" w:rsidR="00D07ED9" w:rsidRPr="00004A97" w:rsidRDefault="00D07ED9" w:rsidP="00004A97">
            <w:pPr>
              <w:jc w:val="both"/>
              <w:rPr>
                <w:sz w:val="24"/>
              </w:rPr>
            </w:pPr>
            <w:r w:rsidRPr="00004A97">
              <w:rPr>
                <w:sz w:val="24"/>
              </w:rPr>
              <w:t>203</w:t>
            </w:r>
          </w:p>
        </w:tc>
        <w:tc>
          <w:tcPr>
            <w:tcW w:w="5580" w:type="dxa"/>
          </w:tcPr>
          <w:p w14:paraId="6EC3F25D" w14:textId="77777777" w:rsidR="00D07ED9" w:rsidRPr="00004A97" w:rsidRDefault="00D07ED9" w:rsidP="00004A97">
            <w:pPr>
              <w:rPr>
                <w:sz w:val="24"/>
              </w:rPr>
            </w:pPr>
            <w:r w:rsidRPr="00004A97">
              <w:rPr>
                <w:sz w:val="24"/>
              </w:rPr>
              <w:t>Critical Areas of Education in Developing Countries</w:t>
            </w:r>
          </w:p>
        </w:tc>
      </w:tr>
      <w:tr w:rsidR="00D07ED9" w:rsidRPr="00004A97" w14:paraId="267A5F47" w14:textId="77777777" w:rsidTr="005571EC">
        <w:trPr>
          <w:jc w:val="center"/>
        </w:trPr>
        <w:tc>
          <w:tcPr>
            <w:tcW w:w="1656" w:type="dxa"/>
          </w:tcPr>
          <w:p w14:paraId="1FF9131D" w14:textId="77777777" w:rsidR="00D07ED9" w:rsidRPr="00004A97" w:rsidRDefault="00D07ED9" w:rsidP="00004A97">
            <w:pPr>
              <w:jc w:val="both"/>
              <w:rPr>
                <w:sz w:val="24"/>
              </w:rPr>
            </w:pPr>
            <w:r w:rsidRPr="00004A97">
              <w:rPr>
                <w:sz w:val="24"/>
              </w:rPr>
              <w:t>204</w:t>
            </w:r>
          </w:p>
        </w:tc>
        <w:tc>
          <w:tcPr>
            <w:tcW w:w="5580" w:type="dxa"/>
          </w:tcPr>
          <w:p w14:paraId="315F0CCA" w14:textId="77777777" w:rsidR="00D07ED9" w:rsidRPr="00004A97" w:rsidRDefault="00D07ED9" w:rsidP="00004A97">
            <w:pPr>
              <w:rPr>
                <w:sz w:val="24"/>
              </w:rPr>
            </w:pPr>
            <w:r w:rsidRPr="00004A97">
              <w:rPr>
                <w:sz w:val="24"/>
              </w:rPr>
              <w:t>Educational Planning</w:t>
            </w:r>
            <w:r w:rsidR="00426AFC">
              <w:rPr>
                <w:sz w:val="24"/>
              </w:rPr>
              <w:t>: Concepts, Types and Approaches</w:t>
            </w:r>
          </w:p>
        </w:tc>
      </w:tr>
      <w:tr w:rsidR="00D07ED9" w:rsidRPr="00004A97" w14:paraId="34A05015" w14:textId="77777777" w:rsidTr="005571EC">
        <w:trPr>
          <w:jc w:val="center"/>
        </w:trPr>
        <w:tc>
          <w:tcPr>
            <w:tcW w:w="1656" w:type="dxa"/>
          </w:tcPr>
          <w:p w14:paraId="3FA5DB9E" w14:textId="77777777" w:rsidR="00D07ED9" w:rsidRPr="00004A97" w:rsidRDefault="00D07ED9" w:rsidP="00004A97">
            <w:pPr>
              <w:jc w:val="both"/>
              <w:rPr>
                <w:sz w:val="24"/>
              </w:rPr>
            </w:pPr>
            <w:r w:rsidRPr="00004A97">
              <w:rPr>
                <w:sz w:val="24"/>
              </w:rPr>
              <w:t>205</w:t>
            </w:r>
          </w:p>
        </w:tc>
        <w:tc>
          <w:tcPr>
            <w:tcW w:w="5580" w:type="dxa"/>
          </w:tcPr>
          <w:p w14:paraId="58E71869" w14:textId="77777777" w:rsidR="00D07ED9" w:rsidRPr="00004A97" w:rsidRDefault="00426AFC" w:rsidP="00004A97">
            <w:pPr>
              <w:rPr>
                <w:sz w:val="24"/>
              </w:rPr>
            </w:pPr>
            <w:r>
              <w:rPr>
                <w:sz w:val="24"/>
              </w:rPr>
              <w:t>Methodology and Techniques of Educational Planning</w:t>
            </w:r>
          </w:p>
        </w:tc>
      </w:tr>
      <w:tr w:rsidR="00D07ED9" w:rsidRPr="00004A97" w14:paraId="0D486734" w14:textId="77777777" w:rsidTr="005571EC">
        <w:trPr>
          <w:jc w:val="center"/>
        </w:trPr>
        <w:tc>
          <w:tcPr>
            <w:tcW w:w="1656" w:type="dxa"/>
          </w:tcPr>
          <w:p w14:paraId="052D0A9A" w14:textId="77777777" w:rsidR="00D07ED9" w:rsidRPr="00004A97" w:rsidRDefault="00D07ED9" w:rsidP="00004A97">
            <w:pPr>
              <w:jc w:val="both"/>
              <w:rPr>
                <w:sz w:val="24"/>
              </w:rPr>
            </w:pPr>
            <w:r w:rsidRPr="00004A97">
              <w:rPr>
                <w:sz w:val="24"/>
              </w:rPr>
              <w:t>206</w:t>
            </w:r>
          </w:p>
        </w:tc>
        <w:tc>
          <w:tcPr>
            <w:tcW w:w="5580" w:type="dxa"/>
          </w:tcPr>
          <w:p w14:paraId="2BFC68AC" w14:textId="77777777" w:rsidR="00D07ED9" w:rsidRPr="00004A97" w:rsidRDefault="00D07ED9" w:rsidP="00004A97">
            <w:pPr>
              <w:rPr>
                <w:sz w:val="24"/>
              </w:rPr>
            </w:pPr>
            <w:r w:rsidRPr="00004A97">
              <w:rPr>
                <w:sz w:val="24"/>
              </w:rPr>
              <w:t>Use of Quantitative Techniques in Educational Planning</w:t>
            </w:r>
          </w:p>
        </w:tc>
      </w:tr>
      <w:tr w:rsidR="00D07ED9" w:rsidRPr="00004A97" w14:paraId="59086A2E" w14:textId="77777777" w:rsidTr="005571EC">
        <w:trPr>
          <w:jc w:val="center"/>
        </w:trPr>
        <w:tc>
          <w:tcPr>
            <w:tcW w:w="1656" w:type="dxa"/>
          </w:tcPr>
          <w:p w14:paraId="2DABEBC4" w14:textId="77777777" w:rsidR="00D07ED9" w:rsidRPr="00004A97" w:rsidRDefault="00D07ED9" w:rsidP="00004A97">
            <w:pPr>
              <w:jc w:val="both"/>
              <w:rPr>
                <w:sz w:val="24"/>
              </w:rPr>
            </w:pPr>
            <w:r w:rsidRPr="00004A97">
              <w:rPr>
                <w:sz w:val="24"/>
              </w:rPr>
              <w:t>207</w:t>
            </w:r>
          </w:p>
        </w:tc>
        <w:tc>
          <w:tcPr>
            <w:tcW w:w="5580" w:type="dxa"/>
          </w:tcPr>
          <w:p w14:paraId="378088AF" w14:textId="77777777" w:rsidR="00D07ED9" w:rsidRPr="00004A97" w:rsidRDefault="00426AFC" w:rsidP="00004A97">
            <w:pPr>
              <w:jc w:val="both"/>
              <w:rPr>
                <w:sz w:val="24"/>
              </w:rPr>
            </w:pPr>
            <w:r w:rsidRPr="00004A97">
              <w:rPr>
                <w:sz w:val="24"/>
              </w:rPr>
              <w:t>Financial Planning and Management in Education</w:t>
            </w:r>
          </w:p>
        </w:tc>
      </w:tr>
      <w:tr w:rsidR="00D07ED9" w:rsidRPr="00004A97" w14:paraId="6D906608" w14:textId="77777777" w:rsidTr="005571EC">
        <w:trPr>
          <w:jc w:val="center"/>
        </w:trPr>
        <w:tc>
          <w:tcPr>
            <w:tcW w:w="1656" w:type="dxa"/>
          </w:tcPr>
          <w:p w14:paraId="32DE40ED" w14:textId="77777777" w:rsidR="00D07ED9" w:rsidRPr="00004A97" w:rsidRDefault="00D07ED9" w:rsidP="00004A97">
            <w:pPr>
              <w:jc w:val="both"/>
              <w:rPr>
                <w:sz w:val="24"/>
              </w:rPr>
            </w:pPr>
            <w:r w:rsidRPr="00004A97">
              <w:rPr>
                <w:sz w:val="24"/>
              </w:rPr>
              <w:t>208</w:t>
            </w:r>
          </w:p>
        </w:tc>
        <w:tc>
          <w:tcPr>
            <w:tcW w:w="5580" w:type="dxa"/>
          </w:tcPr>
          <w:p w14:paraId="136D9240" w14:textId="77777777" w:rsidR="00D07ED9" w:rsidRPr="00004A97" w:rsidRDefault="00426AFC" w:rsidP="00004A97">
            <w:pPr>
              <w:rPr>
                <w:sz w:val="24"/>
              </w:rPr>
            </w:pPr>
            <w:r w:rsidRPr="00004A97">
              <w:rPr>
                <w:sz w:val="24"/>
              </w:rPr>
              <w:t>Educational Management: Structures and Functions</w:t>
            </w:r>
          </w:p>
        </w:tc>
      </w:tr>
      <w:tr w:rsidR="00D07ED9" w:rsidRPr="00004A97" w14:paraId="435D71F1" w14:textId="77777777" w:rsidTr="005571EC">
        <w:trPr>
          <w:jc w:val="center"/>
        </w:trPr>
        <w:tc>
          <w:tcPr>
            <w:tcW w:w="1656" w:type="dxa"/>
          </w:tcPr>
          <w:p w14:paraId="57A7375E" w14:textId="77777777" w:rsidR="00D07ED9" w:rsidRPr="00004A97" w:rsidRDefault="00D07ED9" w:rsidP="00004A97">
            <w:pPr>
              <w:jc w:val="both"/>
              <w:rPr>
                <w:sz w:val="24"/>
              </w:rPr>
            </w:pPr>
            <w:r w:rsidRPr="00004A97">
              <w:rPr>
                <w:sz w:val="24"/>
              </w:rPr>
              <w:t>209</w:t>
            </w:r>
          </w:p>
        </w:tc>
        <w:tc>
          <w:tcPr>
            <w:tcW w:w="5580" w:type="dxa"/>
          </w:tcPr>
          <w:p w14:paraId="4503F1BB" w14:textId="77777777" w:rsidR="00D07ED9" w:rsidRPr="00004A97" w:rsidRDefault="00426AFC" w:rsidP="00004A97">
            <w:pPr>
              <w:rPr>
                <w:sz w:val="24"/>
              </w:rPr>
            </w:pPr>
            <w:r w:rsidRPr="00004A97">
              <w:rPr>
                <w:sz w:val="24"/>
              </w:rPr>
              <w:t>Educational Management</w:t>
            </w:r>
          </w:p>
        </w:tc>
      </w:tr>
      <w:tr w:rsidR="00D07ED9" w:rsidRPr="00004A97" w14:paraId="76BEA99B" w14:textId="77777777" w:rsidTr="005571EC">
        <w:trPr>
          <w:jc w:val="center"/>
        </w:trPr>
        <w:tc>
          <w:tcPr>
            <w:tcW w:w="1656" w:type="dxa"/>
          </w:tcPr>
          <w:p w14:paraId="72E910AD" w14:textId="77777777" w:rsidR="00D07ED9" w:rsidRPr="00004A97" w:rsidRDefault="00D07ED9" w:rsidP="00004A97">
            <w:pPr>
              <w:jc w:val="both"/>
              <w:rPr>
                <w:sz w:val="24"/>
              </w:rPr>
            </w:pPr>
            <w:r w:rsidRPr="00004A97">
              <w:rPr>
                <w:sz w:val="24"/>
              </w:rPr>
              <w:t>210</w:t>
            </w:r>
          </w:p>
        </w:tc>
        <w:tc>
          <w:tcPr>
            <w:tcW w:w="5580" w:type="dxa"/>
          </w:tcPr>
          <w:p w14:paraId="7231ACCA" w14:textId="77777777" w:rsidR="00D07ED9" w:rsidRPr="00004A97" w:rsidRDefault="00426AFC" w:rsidP="00004A97">
            <w:pPr>
              <w:rPr>
                <w:sz w:val="24"/>
              </w:rPr>
            </w:pPr>
            <w:r w:rsidRPr="00004A97">
              <w:rPr>
                <w:sz w:val="24"/>
              </w:rPr>
              <w:t>Educational Management Information System (EMIS)</w:t>
            </w:r>
          </w:p>
        </w:tc>
      </w:tr>
      <w:tr w:rsidR="00D07ED9" w:rsidRPr="00004A97" w14:paraId="14AB3C69" w14:textId="77777777" w:rsidTr="005571EC">
        <w:trPr>
          <w:jc w:val="center"/>
        </w:trPr>
        <w:tc>
          <w:tcPr>
            <w:tcW w:w="1656" w:type="dxa"/>
          </w:tcPr>
          <w:p w14:paraId="0B7D92A0" w14:textId="77777777" w:rsidR="00D07ED9" w:rsidRPr="00004A97" w:rsidRDefault="00D07ED9" w:rsidP="00004A97">
            <w:pPr>
              <w:jc w:val="both"/>
              <w:rPr>
                <w:sz w:val="24"/>
              </w:rPr>
            </w:pPr>
            <w:r w:rsidRPr="00004A97">
              <w:rPr>
                <w:sz w:val="24"/>
              </w:rPr>
              <w:t>211</w:t>
            </w:r>
          </w:p>
        </w:tc>
        <w:tc>
          <w:tcPr>
            <w:tcW w:w="5580" w:type="dxa"/>
          </w:tcPr>
          <w:p w14:paraId="6B6ECC94" w14:textId="77777777" w:rsidR="00D07ED9" w:rsidRPr="00004A97" w:rsidRDefault="00426AFC" w:rsidP="00004A97">
            <w:pPr>
              <w:rPr>
                <w:sz w:val="24"/>
              </w:rPr>
            </w:pPr>
            <w:r w:rsidRPr="00004A97">
              <w:rPr>
                <w:sz w:val="24"/>
              </w:rPr>
              <w:t>Research Methodology and Statistics</w:t>
            </w:r>
          </w:p>
        </w:tc>
      </w:tr>
      <w:tr w:rsidR="00D07ED9" w:rsidRPr="00004A97" w14:paraId="2E4F8C87" w14:textId="77777777" w:rsidTr="005571EC">
        <w:trPr>
          <w:jc w:val="center"/>
        </w:trPr>
        <w:tc>
          <w:tcPr>
            <w:tcW w:w="1656" w:type="dxa"/>
          </w:tcPr>
          <w:p w14:paraId="08393854" w14:textId="77777777" w:rsidR="00D07ED9" w:rsidRPr="00004A97" w:rsidRDefault="00D07ED9" w:rsidP="00004A97">
            <w:pPr>
              <w:jc w:val="both"/>
              <w:rPr>
                <w:sz w:val="24"/>
              </w:rPr>
            </w:pPr>
            <w:r w:rsidRPr="00004A97">
              <w:rPr>
                <w:sz w:val="24"/>
              </w:rPr>
              <w:t>212</w:t>
            </w:r>
          </w:p>
        </w:tc>
        <w:tc>
          <w:tcPr>
            <w:tcW w:w="5580" w:type="dxa"/>
          </w:tcPr>
          <w:p w14:paraId="16329A20" w14:textId="77777777" w:rsidR="00D07ED9" w:rsidRPr="00004A97" w:rsidRDefault="00426AFC" w:rsidP="00426AFC">
            <w:pPr>
              <w:rPr>
                <w:sz w:val="24"/>
              </w:rPr>
            </w:pPr>
            <w:r>
              <w:rPr>
                <w:sz w:val="24"/>
              </w:rPr>
              <w:t xml:space="preserve">Designing Programmes for </w:t>
            </w:r>
            <w:r w:rsidRPr="00004A97">
              <w:rPr>
                <w:sz w:val="24"/>
              </w:rPr>
              <w:t xml:space="preserve">Capacity Building </w:t>
            </w:r>
          </w:p>
        </w:tc>
      </w:tr>
      <w:tr w:rsidR="00D07ED9" w:rsidRPr="00004A97" w14:paraId="759F6B51" w14:textId="77777777" w:rsidTr="005571EC">
        <w:trPr>
          <w:jc w:val="center"/>
        </w:trPr>
        <w:tc>
          <w:tcPr>
            <w:tcW w:w="1656" w:type="dxa"/>
          </w:tcPr>
          <w:p w14:paraId="3CCED4C9" w14:textId="77777777" w:rsidR="00D07ED9" w:rsidRPr="00004A97" w:rsidRDefault="00D07ED9" w:rsidP="00004A97">
            <w:pPr>
              <w:jc w:val="both"/>
              <w:rPr>
                <w:sz w:val="24"/>
              </w:rPr>
            </w:pPr>
            <w:r w:rsidRPr="00004A97">
              <w:rPr>
                <w:sz w:val="24"/>
              </w:rPr>
              <w:t>213</w:t>
            </w:r>
          </w:p>
        </w:tc>
        <w:tc>
          <w:tcPr>
            <w:tcW w:w="5580" w:type="dxa"/>
          </w:tcPr>
          <w:p w14:paraId="65C5F045" w14:textId="77777777" w:rsidR="00D07ED9" w:rsidRPr="00004A97" w:rsidRDefault="00426AFC" w:rsidP="00004A97">
            <w:pPr>
              <w:rPr>
                <w:sz w:val="24"/>
              </w:rPr>
            </w:pPr>
            <w:r>
              <w:rPr>
                <w:sz w:val="24"/>
              </w:rPr>
              <w:t>Project Work</w:t>
            </w:r>
          </w:p>
        </w:tc>
      </w:tr>
    </w:tbl>
    <w:p w14:paraId="7FE503F9" w14:textId="77777777" w:rsidR="00D07ED9" w:rsidRPr="00004A97" w:rsidRDefault="00D07ED9" w:rsidP="00004A97">
      <w:pPr>
        <w:ind w:left="162"/>
        <w:jc w:val="both"/>
      </w:pPr>
    </w:p>
    <w:p w14:paraId="0FD669E9" w14:textId="77777777" w:rsidR="00D07ED9" w:rsidRPr="00004A97" w:rsidRDefault="00D07ED9" w:rsidP="00004A97">
      <w:pPr>
        <w:ind w:left="162"/>
        <w:jc w:val="both"/>
      </w:pPr>
    </w:p>
    <w:p w14:paraId="2FA9CC43" w14:textId="77777777" w:rsidR="00D07ED9" w:rsidRPr="00004A97" w:rsidRDefault="00D07ED9" w:rsidP="00004A97">
      <w:pPr>
        <w:pStyle w:val="BlockText"/>
        <w:spacing w:after="0"/>
        <w:ind w:left="0" w:right="0"/>
        <w:rPr>
          <w:sz w:val="24"/>
          <w:szCs w:val="24"/>
        </w:rPr>
      </w:pPr>
    </w:p>
    <w:p w14:paraId="200DFE28" w14:textId="77777777" w:rsidR="002D6DBC" w:rsidRPr="00004A97" w:rsidRDefault="002D6DBC" w:rsidP="00004A97"/>
    <w:sectPr w:rsidR="002D6DBC" w:rsidRPr="00004A97" w:rsidSect="002D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124E1"/>
    <w:multiLevelType w:val="hybridMultilevel"/>
    <w:tmpl w:val="980EB58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7ED9"/>
    <w:rsid w:val="00004A97"/>
    <w:rsid w:val="000B7DE7"/>
    <w:rsid w:val="001C0B36"/>
    <w:rsid w:val="002D6DBC"/>
    <w:rsid w:val="002E270F"/>
    <w:rsid w:val="003C1FBB"/>
    <w:rsid w:val="00426AFC"/>
    <w:rsid w:val="004C0674"/>
    <w:rsid w:val="005571EC"/>
    <w:rsid w:val="006473A4"/>
    <w:rsid w:val="00716902"/>
    <w:rsid w:val="00851B29"/>
    <w:rsid w:val="0087328F"/>
    <w:rsid w:val="00907B2C"/>
    <w:rsid w:val="00952397"/>
    <w:rsid w:val="00A07FC2"/>
    <w:rsid w:val="00D07ED9"/>
    <w:rsid w:val="00D1202E"/>
    <w:rsid w:val="00D80436"/>
    <w:rsid w:val="00D804A5"/>
    <w:rsid w:val="00E1785A"/>
    <w:rsid w:val="00E90ED1"/>
    <w:rsid w:val="00F97EC0"/>
    <w:rsid w:val="00FC5975"/>
    <w:rsid w:val="00FC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7BF2"/>
  <w15:docId w15:val="{1C12D5CF-74CD-49F8-822E-99C8C150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ED9"/>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qFormat/>
    <w:rsid w:val="00D07ED9"/>
    <w:pPr>
      <w:keepNext/>
      <w:ind w:right="-540"/>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ED9"/>
    <w:rPr>
      <w:rFonts w:ascii="Times New Roman" w:eastAsia="Times New Roman" w:hAnsi="Times New Roman" w:cs="Times New Roman"/>
      <w:b/>
      <w:bCs/>
      <w:color w:val="000000"/>
      <w:sz w:val="24"/>
      <w:szCs w:val="24"/>
      <w:lang w:val="en-GB" w:bidi="ar-SA"/>
    </w:rPr>
  </w:style>
  <w:style w:type="paragraph" w:styleId="BodyTextIndent">
    <w:name w:val="Body Text Indent"/>
    <w:basedOn w:val="Normal"/>
    <w:link w:val="BodyTextIndentChar"/>
    <w:rsid w:val="00D07ED9"/>
    <w:pPr>
      <w:ind w:firstLine="720"/>
      <w:jc w:val="both"/>
    </w:pPr>
  </w:style>
  <w:style w:type="character" w:customStyle="1" w:styleId="BodyTextIndentChar">
    <w:name w:val="Body Text Indent Char"/>
    <w:basedOn w:val="DefaultParagraphFont"/>
    <w:link w:val="BodyTextIndent"/>
    <w:rsid w:val="00D07ED9"/>
    <w:rPr>
      <w:rFonts w:ascii="Times New Roman" w:eastAsia="Times New Roman" w:hAnsi="Times New Roman" w:cs="Times New Roman"/>
      <w:sz w:val="24"/>
      <w:szCs w:val="24"/>
      <w:lang w:val="en-GB" w:bidi="ar-SA"/>
    </w:rPr>
  </w:style>
  <w:style w:type="paragraph" w:styleId="BlockText">
    <w:name w:val="Block Text"/>
    <w:basedOn w:val="Normal"/>
    <w:unhideWhenUsed/>
    <w:rsid w:val="00D07ED9"/>
    <w:pPr>
      <w:spacing w:after="120"/>
      <w:ind w:left="2160" w:right="2160"/>
      <w:jc w:val="both"/>
    </w:pPr>
    <w:rPr>
      <w:sz w:val="20"/>
      <w:szCs w:val="20"/>
    </w:rPr>
  </w:style>
  <w:style w:type="table" w:styleId="TableGrid">
    <w:name w:val="Table Grid"/>
    <w:basedOn w:val="TableNormal"/>
    <w:uiPriority w:val="59"/>
    <w:rsid w:val="00D0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NIEPA</cp:lastModifiedBy>
  <cp:revision>5</cp:revision>
  <cp:lastPrinted>2016-04-13T09:07:00Z</cp:lastPrinted>
  <dcterms:created xsi:type="dcterms:W3CDTF">2018-11-14T09:15:00Z</dcterms:created>
  <dcterms:modified xsi:type="dcterms:W3CDTF">2022-02-11T04:35:00Z</dcterms:modified>
</cp:coreProperties>
</file>