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668B8" w14:textId="77777777" w:rsidR="00FC2797" w:rsidRDefault="002A02CC" w:rsidP="002A02CC">
      <w:pPr>
        <w:spacing w:after="0" w:line="240" w:lineRule="auto"/>
        <w:jc w:val="center"/>
        <w:rPr>
          <w:rFonts w:ascii="Times New Roman" w:hAnsi="Times New Roman" w:cs="Times New Roman"/>
          <w:b/>
          <w:sz w:val="24"/>
          <w:szCs w:val="24"/>
        </w:rPr>
      </w:pPr>
      <w:r w:rsidRPr="002A02CC">
        <w:rPr>
          <w:rFonts w:ascii="Times New Roman" w:hAnsi="Times New Roman" w:cs="Times New Roman"/>
          <w:b/>
          <w:sz w:val="24"/>
          <w:szCs w:val="24"/>
        </w:rPr>
        <w:t xml:space="preserve">International </w:t>
      </w:r>
      <w:proofErr w:type="spellStart"/>
      <w:r w:rsidRPr="002A02CC">
        <w:rPr>
          <w:rFonts w:ascii="Times New Roman" w:hAnsi="Times New Roman" w:cs="Times New Roman"/>
          <w:b/>
          <w:sz w:val="24"/>
          <w:szCs w:val="24"/>
        </w:rPr>
        <w:t>Programme</w:t>
      </w:r>
      <w:proofErr w:type="spellEnd"/>
      <w:r w:rsidRPr="002A02CC">
        <w:rPr>
          <w:rFonts w:ascii="Times New Roman" w:hAnsi="Times New Roman" w:cs="Times New Roman"/>
          <w:b/>
          <w:sz w:val="24"/>
          <w:szCs w:val="24"/>
        </w:rPr>
        <w:t xml:space="preserve"> for Educational Administrators</w:t>
      </w:r>
      <w:r w:rsidR="00FC2797">
        <w:rPr>
          <w:rFonts w:ascii="Times New Roman" w:hAnsi="Times New Roman" w:cs="Times New Roman"/>
          <w:b/>
          <w:sz w:val="24"/>
          <w:szCs w:val="24"/>
        </w:rPr>
        <w:t xml:space="preserve"> </w:t>
      </w:r>
      <w:r w:rsidRPr="002A02CC">
        <w:rPr>
          <w:rFonts w:ascii="Times New Roman" w:hAnsi="Times New Roman" w:cs="Times New Roman"/>
          <w:b/>
          <w:sz w:val="24"/>
          <w:szCs w:val="24"/>
        </w:rPr>
        <w:t>(IPEA-</w:t>
      </w:r>
      <w:r w:rsidR="00DD322C">
        <w:rPr>
          <w:rFonts w:ascii="Times New Roman" w:hAnsi="Times New Roman" w:cs="Times New Roman"/>
          <w:b/>
          <w:sz w:val="24"/>
          <w:szCs w:val="24"/>
        </w:rPr>
        <w:t>V</w:t>
      </w:r>
      <w:r w:rsidRPr="002A02CC">
        <w:rPr>
          <w:rFonts w:ascii="Times New Roman" w:hAnsi="Times New Roman" w:cs="Times New Roman"/>
          <w:b/>
          <w:sz w:val="24"/>
          <w:szCs w:val="24"/>
        </w:rPr>
        <w:t>)</w:t>
      </w:r>
    </w:p>
    <w:p w14:paraId="152C2A6C" w14:textId="1FE87393" w:rsidR="002A02CC" w:rsidRPr="002A02CC" w:rsidRDefault="00E9304D" w:rsidP="002A02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2-25 January </w:t>
      </w:r>
      <w:r w:rsidR="002417A6">
        <w:rPr>
          <w:rFonts w:ascii="Times New Roman" w:hAnsi="Times New Roman" w:cs="Times New Roman"/>
          <w:b/>
          <w:sz w:val="24"/>
          <w:szCs w:val="24"/>
        </w:rPr>
        <w:t>20</w:t>
      </w:r>
      <w:r w:rsidR="00C05416">
        <w:rPr>
          <w:rFonts w:ascii="Times New Roman" w:hAnsi="Times New Roman" w:cs="Times New Roman"/>
          <w:b/>
          <w:sz w:val="24"/>
          <w:szCs w:val="24"/>
        </w:rPr>
        <w:t>2</w:t>
      </w:r>
      <w:r>
        <w:rPr>
          <w:rFonts w:ascii="Times New Roman" w:hAnsi="Times New Roman" w:cs="Times New Roman"/>
          <w:b/>
          <w:sz w:val="24"/>
          <w:szCs w:val="24"/>
        </w:rPr>
        <w:t>3</w:t>
      </w:r>
    </w:p>
    <w:p w14:paraId="5A6420F6" w14:textId="77777777" w:rsidR="002A02CC" w:rsidRPr="002A02CC" w:rsidRDefault="002A02CC" w:rsidP="002A02CC">
      <w:pPr>
        <w:pStyle w:val="Heading1"/>
        <w:ind w:right="0"/>
        <w:jc w:val="left"/>
        <w:rPr>
          <w:color w:val="auto"/>
        </w:rPr>
      </w:pPr>
    </w:p>
    <w:p w14:paraId="4E517241" w14:textId="77777777" w:rsidR="00226D6E" w:rsidRPr="002A02CC" w:rsidRDefault="00226D6E" w:rsidP="002A02CC">
      <w:pPr>
        <w:pStyle w:val="Heading1"/>
        <w:ind w:right="0"/>
        <w:jc w:val="left"/>
        <w:rPr>
          <w:color w:val="auto"/>
        </w:rPr>
      </w:pPr>
      <w:r w:rsidRPr="002A02CC">
        <w:rPr>
          <w:color w:val="auto"/>
        </w:rPr>
        <w:t>AIM</w:t>
      </w:r>
    </w:p>
    <w:p w14:paraId="25990F3E" w14:textId="77777777" w:rsidR="00226D6E" w:rsidRPr="002A02CC" w:rsidRDefault="00226D6E" w:rsidP="002A02CC">
      <w:pPr>
        <w:pStyle w:val="BodyTextIndent"/>
        <w:ind w:firstLine="0"/>
      </w:pPr>
      <w:r w:rsidRPr="002A02CC">
        <w:t xml:space="preserve">The training programme endeavours to promote a spirit of international cooperation and understanding, especially among the participating officials, through the exchange of innovations and experiences gained in the field of Educational Planning and Management in different geographical settings, in a comparative perspective. </w:t>
      </w:r>
    </w:p>
    <w:p w14:paraId="7BEA7903" w14:textId="77777777" w:rsidR="002A02CC" w:rsidRPr="002A02CC" w:rsidRDefault="002A02CC" w:rsidP="002A02CC">
      <w:pPr>
        <w:pStyle w:val="BodyTextIndent"/>
        <w:ind w:firstLine="0"/>
      </w:pPr>
    </w:p>
    <w:p w14:paraId="6D3170D5" w14:textId="77777777" w:rsidR="00226D6E" w:rsidRPr="002A02CC" w:rsidRDefault="00226D6E" w:rsidP="002A02CC">
      <w:pPr>
        <w:pStyle w:val="BodyTextIndent"/>
        <w:ind w:firstLine="0"/>
      </w:pPr>
      <w:r w:rsidRPr="002A02CC">
        <w:t xml:space="preserve">The Programme intends to help the participants to understand the structures and processes of educational planning – micro, </w:t>
      </w:r>
      <w:proofErr w:type="spellStart"/>
      <w:r w:rsidRPr="002A02CC">
        <w:t>meso</w:t>
      </w:r>
      <w:proofErr w:type="spellEnd"/>
      <w:r w:rsidRPr="002A02CC">
        <w:t xml:space="preserve"> and macro – on the one hand, and educational supervision, administration, management and leadership on the other. Exchange of ideas in group work presentations, on a variety of subject matters and issues important to the field of human resource development serves as the strength of the Programme. </w:t>
      </w:r>
    </w:p>
    <w:p w14:paraId="1CC28841" w14:textId="77777777" w:rsidR="00226D6E" w:rsidRPr="002A02CC" w:rsidRDefault="00226D6E" w:rsidP="002A02CC">
      <w:pPr>
        <w:pStyle w:val="Heading1"/>
        <w:ind w:right="0"/>
        <w:jc w:val="both"/>
        <w:rPr>
          <w:color w:val="auto"/>
        </w:rPr>
      </w:pPr>
    </w:p>
    <w:p w14:paraId="6DF1D63D" w14:textId="77777777" w:rsidR="00226D6E" w:rsidRDefault="00226D6E" w:rsidP="002A02CC">
      <w:pPr>
        <w:pStyle w:val="Heading1"/>
        <w:ind w:right="0"/>
        <w:jc w:val="both"/>
        <w:rPr>
          <w:color w:val="auto"/>
        </w:rPr>
      </w:pPr>
      <w:r w:rsidRPr="002A02CC">
        <w:rPr>
          <w:color w:val="auto"/>
        </w:rPr>
        <w:t>OBJECTIVES</w:t>
      </w:r>
    </w:p>
    <w:p w14:paraId="71B4DDF0" w14:textId="77777777" w:rsidR="00226D6E" w:rsidRDefault="00226D6E" w:rsidP="002A02CC">
      <w:pPr>
        <w:pStyle w:val="BodyTextIndent"/>
        <w:ind w:firstLine="0"/>
      </w:pPr>
      <w:r w:rsidRPr="002A02CC">
        <w:t>To accomplish the Mission stated above, a number of Programme objectives have been proposed. These objectives broadly aim at sharing experiences in the field experiences in the field of educational planning and administration among the participants with a view to:</w:t>
      </w:r>
    </w:p>
    <w:p w14:paraId="42B34316" w14:textId="77777777" w:rsidR="002A02CC" w:rsidRPr="002A02CC" w:rsidRDefault="002A02CC" w:rsidP="002A02CC">
      <w:pPr>
        <w:pStyle w:val="BodyTextIndent"/>
        <w:ind w:firstLine="0"/>
      </w:pPr>
    </w:p>
    <w:p w14:paraId="7221896B" w14:textId="77777777" w:rsidR="00226D6E" w:rsidRDefault="00226D6E" w:rsidP="002A02C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2A02CC">
        <w:rPr>
          <w:rFonts w:ascii="Times New Roman" w:hAnsi="Times New Roman" w:cs="Times New Roman"/>
          <w:sz w:val="24"/>
          <w:szCs w:val="24"/>
        </w:rPr>
        <w:t xml:space="preserve">The </w:t>
      </w:r>
      <w:proofErr w:type="spellStart"/>
      <w:r w:rsidRPr="002A02CC">
        <w:rPr>
          <w:rFonts w:ascii="Times New Roman" w:hAnsi="Times New Roman" w:cs="Times New Roman"/>
          <w:sz w:val="24"/>
          <w:szCs w:val="24"/>
        </w:rPr>
        <w:t>Programme</w:t>
      </w:r>
      <w:proofErr w:type="spellEnd"/>
      <w:r w:rsidRPr="002A02CC">
        <w:rPr>
          <w:rFonts w:ascii="Times New Roman" w:hAnsi="Times New Roman" w:cs="Times New Roman"/>
          <w:sz w:val="24"/>
          <w:szCs w:val="24"/>
        </w:rPr>
        <w:t xml:space="preserve"> has designed the course structures in order to keep pace with the changing scenario of the district level administrators. The </w:t>
      </w:r>
      <w:proofErr w:type="spellStart"/>
      <w:r w:rsidRPr="002A02CC">
        <w:rPr>
          <w:rFonts w:ascii="Times New Roman" w:hAnsi="Times New Roman" w:cs="Times New Roman"/>
          <w:sz w:val="24"/>
          <w:szCs w:val="24"/>
        </w:rPr>
        <w:t>Programme</w:t>
      </w:r>
      <w:proofErr w:type="spellEnd"/>
      <w:r w:rsidRPr="002A02CC">
        <w:rPr>
          <w:rFonts w:ascii="Times New Roman" w:hAnsi="Times New Roman" w:cs="Times New Roman"/>
          <w:sz w:val="24"/>
          <w:szCs w:val="24"/>
        </w:rPr>
        <w:t xml:space="preserve"> in general strives to </w:t>
      </w:r>
      <w:proofErr w:type="spellStart"/>
      <w:r w:rsidRPr="002A02CC">
        <w:rPr>
          <w:rFonts w:ascii="Times New Roman" w:hAnsi="Times New Roman" w:cs="Times New Roman"/>
          <w:sz w:val="24"/>
          <w:szCs w:val="24"/>
        </w:rPr>
        <w:t>sensitise</w:t>
      </w:r>
      <w:proofErr w:type="spellEnd"/>
      <w:r w:rsidRPr="002A02CC">
        <w:rPr>
          <w:rFonts w:ascii="Times New Roman" w:hAnsi="Times New Roman" w:cs="Times New Roman"/>
          <w:sz w:val="24"/>
          <w:szCs w:val="24"/>
        </w:rPr>
        <w:t xml:space="preserve"> the participants in subject areas relating to policy, planning and management. </w:t>
      </w:r>
    </w:p>
    <w:p w14:paraId="0BA1B354" w14:textId="77777777" w:rsidR="002A02CC" w:rsidRPr="002A02CC" w:rsidRDefault="002A02CC" w:rsidP="002A02CC">
      <w:pPr>
        <w:pStyle w:val="ListParagraph"/>
        <w:autoSpaceDE w:val="0"/>
        <w:autoSpaceDN w:val="0"/>
        <w:adjustRightInd w:val="0"/>
        <w:spacing w:after="0" w:line="240" w:lineRule="auto"/>
        <w:jc w:val="both"/>
        <w:rPr>
          <w:rFonts w:ascii="Times New Roman" w:hAnsi="Times New Roman" w:cs="Times New Roman"/>
          <w:sz w:val="24"/>
          <w:szCs w:val="24"/>
        </w:rPr>
      </w:pPr>
    </w:p>
    <w:p w14:paraId="55694EE4" w14:textId="77777777" w:rsidR="00226D6E" w:rsidRDefault="00226D6E" w:rsidP="002A02CC">
      <w:pPr>
        <w:pStyle w:val="ListParagraph"/>
        <w:numPr>
          <w:ilvl w:val="0"/>
          <w:numId w:val="1"/>
        </w:numPr>
        <w:spacing w:after="0" w:line="240" w:lineRule="auto"/>
        <w:jc w:val="both"/>
        <w:rPr>
          <w:rFonts w:ascii="Times New Roman" w:hAnsi="Times New Roman" w:cs="Times New Roman"/>
          <w:sz w:val="24"/>
          <w:szCs w:val="24"/>
        </w:rPr>
      </w:pPr>
      <w:r w:rsidRPr="002A02CC">
        <w:rPr>
          <w:rFonts w:ascii="Times New Roman" w:hAnsi="Times New Roman" w:cs="Times New Roman"/>
          <w:sz w:val="24"/>
          <w:szCs w:val="24"/>
        </w:rPr>
        <w:t xml:space="preserve">The </w:t>
      </w:r>
      <w:proofErr w:type="spellStart"/>
      <w:r w:rsidRPr="002A02CC">
        <w:rPr>
          <w:rFonts w:ascii="Times New Roman" w:hAnsi="Times New Roman" w:cs="Times New Roman"/>
          <w:sz w:val="24"/>
          <w:szCs w:val="24"/>
        </w:rPr>
        <w:t>programme</w:t>
      </w:r>
      <w:proofErr w:type="spellEnd"/>
      <w:r w:rsidRPr="002A02CC">
        <w:rPr>
          <w:rFonts w:ascii="Times New Roman" w:hAnsi="Times New Roman" w:cs="Times New Roman"/>
          <w:sz w:val="24"/>
          <w:szCs w:val="24"/>
        </w:rPr>
        <w:t xml:space="preserve"> encompasses the principles, concepts and techniques of educational planning, administration, management and leadership for fulfilling the national goals and meeting local requirements. In this regard, it tries to develop skills of managing data at macro and micro levels of educational planning, on the one hand, and effective managerial leadership skills in educational management and planning capacity building </w:t>
      </w:r>
      <w:proofErr w:type="spellStart"/>
      <w:r w:rsidRPr="002A02CC">
        <w:rPr>
          <w:rFonts w:ascii="Times New Roman" w:hAnsi="Times New Roman" w:cs="Times New Roman"/>
          <w:sz w:val="24"/>
          <w:szCs w:val="24"/>
        </w:rPr>
        <w:t>programmes</w:t>
      </w:r>
      <w:proofErr w:type="spellEnd"/>
      <w:r w:rsidRPr="002A02CC">
        <w:rPr>
          <w:rFonts w:ascii="Times New Roman" w:hAnsi="Times New Roman" w:cs="Times New Roman"/>
          <w:sz w:val="24"/>
          <w:szCs w:val="24"/>
        </w:rPr>
        <w:t xml:space="preserve"> </w:t>
      </w:r>
      <w:proofErr w:type="spellStart"/>
      <w:r w:rsidRPr="002A02CC">
        <w:rPr>
          <w:rFonts w:ascii="Times New Roman" w:hAnsi="Times New Roman" w:cs="Times New Roman"/>
          <w:sz w:val="24"/>
          <w:szCs w:val="24"/>
        </w:rPr>
        <w:t>programmes</w:t>
      </w:r>
      <w:proofErr w:type="spellEnd"/>
      <w:r w:rsidRPr="002A02CC">
        <w:rPr>
          <w:rFonts w:ascii="Times New Roman" w:hAnsi="Times New Roman" w:cs="Times New Roman"/>
          <w:sz w:val="24"/>
          <w:szCs w:val="24"/>
        </w:rPr>
        <w:t xml:space="preserve"> for its personnel on the other.</w:t>
      </w:r>
    </w:p>
    <w:p w14:paraId="44047591" w14:textId="77777777" w:rsidR="002A02CC" w:rsidRPr="002A02CC" w:rsidRDefault="002A02CC" w:rsidP="002A02CC">
      <w:pPr>
        <w:pStyle w:val="ListParagraph"/>
        <w:rPr>
          <w:rFonts w:ascii="Times New Roman" w:hAnsi="Times New Roman" w:cs="Times New Roman"/>
          <w:sz w:val="24"/>
          <w:szCs w:val="24"/>
        </w:rPr>
      </w:pPr>
    </w:p>
    <w:p w14:paraId="7A1F155D" w14:textId="77777777" w:rsidR="002A02CC" w:rsidRPr="002A02CC" w:rsidRDefault="002A02CC" w:rsidP="002A02CC">
      <w:pPr>
        <w:pStyle w:val="ListParagraph"/>
        <w:spacing w:after="0" w:line="240" w:lineRule="auto"/>
        <w:jc w:val="both"/>
        <w:rPr>
          <w:rFonts w:ascii="Times New Roman" w:hAnsi="Times New Roman" w:cs="Times New Roman"/>
          <w:sz w:val="24"/>
          <w:szCs w:val="24"/>
        </w:rPr>
      </w:pPr>
    </w:p>
    <w:tbl>
      <w:tblPr>
        <w:tblStyle w:val="TableGrid"/>
        <w:tblW w:w="3553" w:type="pct"/>
        <w:jc w:val="center"/>
        <w:tblLook w:val="04A0" w:firstRow="1" w:lastRow="0" w:firstColumn="1" w:lastColumn="0" w:noHBand="0" w:noVBand="1"/>
      </w:tblPr>
      <w:tblGrid>
        <w:gridCol w:w="950"/>
        <w:gridCol w:w="5855"/>
      </w:tblGrid>
      <w:tr w:rsidR="00226D6E" w:rsidRPr="002A02CC" w14:paraId="66CB26C5" w14:textId="77777777" w:rsidTr="00817B65">
        <w:trPr>
          <w:jc w:val="center"/>
        </w:trPr>
        <w:tc>
          <w:tcPr>
            <w:tcW w:w="200" w:type="pct"/>
          </w:tcPr>
          <w:p w14:paraId="15837AE3" w14:textId="77777777" w:rsidR="00226D6E" w:rsidRPr="002A02CC" w:rsidRDefault="00226D6E" w:rsidP="002A02CC">
            <w:pPr>
              <w:jc w:val="center"/>
              <w:rPr>
                <w:rFonts w:ascii="Times New Roman" w:hAnsi="Times New Roman" w:cs="Times New Roman"/>
                <w:b/>
                <w:bCs/>
                <w:sz w:val="24"/>
                <w:szCs w:val="24"/>
              </w:rPr>
            </w:pPr>
            <w:r w:rsidRPr="002A02CC">
              <w:rPr>
                <w:rFonts w:ascii="Times New Roman" w:hAnsi="Times New Roman" w:cs="Times New Roman"/>
                <w:b/>
                <w:bCs/>
                <w:sz w:val="24"/>
                <w:szCs w:val="24"/>
              </w:rPr>
              <w:t>Course Code</w:t>
            </w:r>
          </w:p>
        </w:tc>
        <w:tc>
          <w:tcPr>
            <w:tcW w:w="4800" w:type="pct"/>
          </w:tcPr>
          <w:p w14:paraId="700E11BB" w14:textId="77777777" w:rsidR="00226D6E" w:rsidRPr="002A02CC" w:rsidRDefault="00226D6E" w:rsidP="002A02CC">
            <w:pPr>
              <w:jc w:val="center"/>
              <w:rPr>
                <w:rFonts w:ascii="Times New Roman" w:hAnsi="Times New Roman" w:cs="Times New Roman"/>
                <w:b/>
                <w:bCs/>
                <w:sz w:val="24"/>
                <w:szCs w:val="24"/>
              </w:rPr>
            </w:pPr>
            <w:bookmarkStart w:id="0" w:name="_GoBack"/>
            <w:bookmarkEnd w:id="0"/>
            <w:r w:rsidRPr="002A02CC">
              <w:rPr>
                <w:rFonts w:ascii="Times New Roman" w:hAnsi="Times New Roman" w:cs="Times New Roman"/>
                <w:b/>
                <w:bCs/>
                <w:sz w:val="24"/>
                <w:szCs w:val="24"/>
              </w:rPr>
              <w:t>Course Name</w:t>
            </w:r>
          </w:p>
        </w:tc>
      </w:tr>
      <w:tr w:rsidR="00226D6E" w:rsidRPr="002A02CC" w14:paraId="1E4EB59C" w14:textId="77777777" w:rsidTr="00817B65">
        <w:trPr>
          <w:jc w:val="center"/>
        </w:trPr>
        <w:tc>
          <w:tcPr>
            <w:tcW w:w="200" w:type="pct"/>
          </w:tcPr>
          <w:p w14:paraId="1A9B4CE1" w14:textId="77777777" w:rsidR="00226D6E" w:rsidRPr="002A02CC" w:rsidRDefault="00226D6E" w:rsidP="002A02CC">
            <w:pPr>
              <w:rPr>
                <w:rFonts w:ascii="Times New Roman" w:hAnsi="Times New Roman" w:cs="Times New Roman"/>
                <w:sz w:val="24"/>
                <w:szCs w:val="24"/>
              </w:rPr>
            </w:pPr>
            <w:r w:rsidRPr="002A02CC">
              <w:rPr>
                <w:rFonts w:ascii="Times New Roman" w:hAnsi="Times New Roman" w:cs="Times New Roman"/>
                <w:sz w:val="24"/>
                <w:szCs w:val="24"/>
              </w:rPr>
              <w:t>401</w:t>
            </w:r>
          </w:p>
        </w:tc>
        <w:tc>
          <w:tcPr>
            <w:tcW w:w="4800" w:type="pct"/>
          </w:tcPr>
          <w:p w14:paraId="52E10A23" w14:textId="77777777" w:rsidR="00226D6E" w:rsidRPr="002A02CC" w:rsidRDefault="00226D6E" w:rsidP="002A02CC">
            <w:pPr>
              <w:jc w:val="both"/>
              <w:rPr>
                <w:rFonts w:ascii="Times New Roman" w:hAnsi="Times New Roman" w:cs="Times New Roman"/>
                <w:sz w:val="24"/>
                <w:szCs w:val="24"/>
              </w:rPr>
            </w:pPr>
            <w:r w:rsidRPr="002A02CC">
              <w:rPr>
                <w:rFonts w:ascii="Times New Roman" w:hAnsi="Times New Roman" w:cs="Times New Roman"/>
                <w:sz w:val="24"/>
                <w:szCs w:val="24"/>
              </w:rPr>
              <w:t>Education and Development: A Comparative Perspective</w:t>
            </w:r>
          </w:p>
        </w:tc>
      </w:tr>
      <w:tr w:rsidR="00226D6E" w:rsidRPr="002A02CC" w14:paraId="00D322FF" w14:textId="77777777" w:rsidTr="00817B65">
        <w:trPr>
          <w:jc w:val="center"/>
        </w:trPr>
        <w:tc>
          <w:tcPr>
            <w:tcW w:w="200" w:type="pct"/>
          </w:tcPr>
          <w:p w14:paraId="4C99F3CB" w14:textId="77777777" w:rsidR="00226D6E" w:rsidRPr="002A02CC" w:rsidRDefault="00226D6E" w:rsidP="002A02CC">
            <w:pPr>
              <w:rPr>
                <w:rFonts w:ascii="Times New Roman" w:hAnsi="Times New Roman" w:cs="Times New Roman"/>
                <w:sz w:val="24"/>
                <w:szCs w:val="24"/>
              </w:rPr>
            </w:pPr>
            <w:r w:rsidRPr="002A02CC">
              <w:rPr>
                <w:rFonts w:ascii="Times New Roman" w:hAnsi="Times New Roman" w:cs="Times New Roman"/>
                <w:sz w:val="24"/>
                <w:szCs w:val="24"/>
              </w:rPr>
              <w:t>402</w:t>
            </w:r>
          </w:p>
        </w:tc>
        <w:tc>
          <w:tcPr>
            <w:tcW w:w="4800" w:type="pct"/>
          </w:tcPr>
          <w:p w14:paraId="492A8F95" w14:textId="77777777" w:rsidR="00226D6E" w:rsidRPr="002A02CC" w:rsidRDefault="00226D6E" w:rsidP="002A02CC">
            <w:pPr>
              <w:jc w:val="both"/>
              <w:rPr>
                <w:rFonts w:ascii="Times New Roman" w:hAnsi="Times New Roman" w:cs="Times New Roman"/>
                <w:sz w:val="24"/>
                <w:szCs w:val="24"/>
              </w:rPr>
            </w:pPr>
            <w:r w:rsidRPr="002A02CC">
              <w:rPr>
                <w:rFonts w:ascii="Times New Roman" w:hAnsi="Times New Roman" w:cs="Times New Roman"/>
                <w:sz w:val="24"/>
                <w:szCs w:val="24"/>
              </w:rPr>
              <w:t>Educational Planning and EMIS</w:t>
            </w:r>
          </w:p>
        </w:tc>
      </w:tr>
      <w:tr w:rsidR="00226D6E" w:rsidRPr="002A02CC" w14:paraId="71832161" w14:textId="77777777" w:rsidTr="00817B65">
        <w:trPr>
          <w:jc w:val="center"/>
        </w:trPr>
        <w:tc>
          <w:tcPr>
            <w:tcW w:w="200" w:type="pct"/>
          </w:tcPr>
          <w:p w14:paraId="3EF23846" w14:textId="77777777" w:rsidR="00226D6E" w:rsidRPr="002A02CC" w:rsidRDefault="00226D6E" w:rsidP="002A02CC">
            <w:pPr>
              <w:rPr>
                <w:rFonts w:ascii="Times New Roman" w:hAnsi="Times New Roman" w:cs="Times New Roman"/>
                <w:sz w:val="24"/>
                <w:szCs w:val="24"/>
              </w:rPr>
            </w:pPr>
            <w:r w:rsidRPr="002A02CC">
              <w:rPr>
                <w:rFonts w:ascii="Times New Roman" w:hAnsi="Times New Roman" w:cs="Times New Roman"/>
                <w:sz w:val="24"/>
                <w:szCs w:val="24"/>
              </w:rPr>
              <w:t>403</w:t>
            </w:r>
          </w:p>
        </w:tc>
        <w:tc>
          <w:tcPr>
            <w:tcW w:w="4800" w:type="pct"/>
          </w:tcPr>
          <w:p w14:paraId="6D65B2A4" w14:textId="77777777" w:rsidR="00226D6E" w:rsidRPr="002A02CC" w:rsidRDefault="00226D6E" w:rsidP="002A02CC">
            <w:pPr>
              <w:jc w:val="both"/>
              <w:rPr>
                <w:rFonts w:ascii="Times New Roman" w:hAnsi="Times New Roman" w:cs="Times New Roman"/>
                <w:sz w:val="24"/>
                <w:szCs w:val="24"/>
              </w:rPr>
            </w:pPr>
            <w:r w:rsidRPr="002A02CC">
              <w:rPr>
                <w:rFonts w:ascii="Times New Roman" w:hAnsi="Times New Roman" w:cs="Times New Roman"/>
                <w:sz w:val="24"/>
                <w:szCs w:val="24"/>
              </w:rPr>
              <w:t xml:space="preserve">Educational Management </w:t>
            </w:r>
          </w:p>
        </w:tc>
      </w:tr>
      <w:tr w:rsidR="00226D6E" w:rsidRPr="002A02CC" w14:paraId="7FE1D386" w14:textId="77777777" w:rsidTr="00817B65">
        <w:trPr>
          <w:jc w:val="center"/>
        </w:trPr>
        <w:tc>
          <w:tcPr>
            <w:tcW w:w="200" w:type="pct"/>
          </w:tcPr>
          <w:p w14:paraId="4EA48458" w14:textId="77777777" w:rsidR="00226D6E" w:rsidRPr="002A02CC" w:rsidRDefault="00226D6E" w:rsidP="002A02CC">
            <w:pPr>
              <w:rPr>
                <w:rFonts w:ascii="Times New Roman" w:hAnsi="Times New Roman" w:cs="Times New Roman"/>
                <w:sz w:val="24"/>
                <w:szCs w:val="24"/>
              </w:rPr>
            </w:pPr>
            <w:r w:rsidRPr="002A02CC">
              <w:rPr>
                <w:rFonts w:ascii="Times New Roman" w:hAnsi="Times New Roman" w:cs="Times New Roman"/>
                <w:sz w:val="24"/>
                <w:szCs w:val="24"/>
              </w:rPr>
              <w:t>404</w:t>
            </w:r>
          </w:p>
        </w:tc>
        <w:tc>
          <w:tcPr>
            <w:tcW w:w="4800" w:type="pct"/>
          </w:tcPr>
          <w:p w14:paraId="1875F26C" w14:textId="77777777" w:rsidR="00226D6E" w:rsidRPr="002A02CC" w:rsidRDefault="00C04C72" w:rsidP="002A02CC">
            <w:pPr>
              <w:rPr>
                <w:rFonts w:ascii="Times New Roman" w:hAnsi="Times New Roman" w:cs="Times New Roman"/>
                <w:sz w:val="24"/>
                <w:szCs w:val="24"/>
              </w:rPr>
            </w:pPr>
            <w:r w:rsidRPr="002A02CC">
              <w:rPr>
                <w:rFonts w:ascii="Times New Roman" w:hAnsi="Times New Roman" w:cs="Times New Roman"/>
                <w:sz w:val="24"/>
                <w:szCs w:val="24"/>
              </w:rPr>
              <w:t xml:space="preserve">Developing Key Areas for </w:t>
            </w:r>
            <w:r w:rsidR="00226D6E" w:rsidRPr="002A02CC">
              <w:rPr>
                <w:rFonts w:ascii="Times New Roman" w:hAnsi="Times New Roman" w:cs="Times New Roman"/>
                <w:sz w:val="24"/>
                <w:szCs w:val="24"/>
              </w:rPr>
              <w:t>Capacity Building</w:t>
            </w:r>
          </w:p>
        </w:tc>
      </w:tr>
    </w:tbl>
    <w:p w14:paraId="157CC806" w14:textId="77777777" w:rsidR="00226D6E" w:rsidRPr="002A02CC" w:rsidRDefault="00226D6E" w:rsidP="002A02CC">
      <w:pPr>
        <w:spacing w:after="0" w:line="240" w:lineRule="auto"/>
        <w:rPr>
          <w:rFonts w:ascii="Times New Roman" w:hAnsi="Times New Roman" w:cs="Times New Roman"/>
          <w:sz w:val="24"/>
          <w:szCs w:val="24"/>
        </w:rPr>
      </w:pPr>
    </w:p>
    <w:p w14:paraId="6F1249E5" w14:textId="77777777" w:rsidR="00226D6E" w:rsidRPr="002A02CC" w:rsidRDefault="00226D6E" w:rsidP="002A02CC">
      <w:pPr>
        <w:spacing w:after="0" w:line="240" w:lineRule="auto"/>
        <w:rPr>
          <w:rFonts w:ascii="Times New Roman" w:hAnsi="Times New Roman" w:cs="Times New Roman"/>
          <w:sz w:val="24"/>
          <w:szCs w:val="24"/>
        </w:rPr>
      </w:pPr>
    </w:p>
    <w:sectPr w:rsidR="00226D6E" w:rsidRPr="002A02CC" w:rsidSect="002D6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1174D"/>
    <w:multiLevelType w:val="hybridMultilevel"/>
    <w:tmpl w:val="464E7E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6E"/>
    <w:rsid w:val="00054DBC"/>
    <w:rsid w:val="000741F5"/>
    <w:rsid w:val="00226D6E"/>
    <w:rsid w:val="00230F48"/>
    <w:rsid w:val="002417A6"/>
    <w:rsid w:val="002A02CC"/>
    <w:rsid w:val="002D6DBC"/>
    <w:rsid w:val="002F499A"/>
    <w:rsid w:val="00347177"/>
    <w:rsid w:val="0056172F"/>
    <w:rsid w:val="005A4D54"/>
    <w:rsid w:val="00817B65"/>
    <w:rsid w:val="00A1791A"/>
    <w:rsid w:val="00A2743A"/>
    <w:rsid w:val="00A52920"/>
    <w:rsid w:val="00AC767A"/>
    <w:rsid w:val="00AD3AD7"/>
    <w:rsid w:val="00B00805"/>
    <w:rsid w:val="00C04C72"/>
    <w:rsid w:val="00C05416"/>
    <w:rsid w:val="00DD322C"/>
    <w:rsid w:val="00DF09BA"/>
    <w:rsid w:val="00E15393"/>
    <w:rsid w:val="00E672A7"/>
    <w:rsid w:val="00E9304D"/>
    <w:rsid w:val="00FC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A1C1"/>
  <w15:docId w15:val="{1C12D5CF-74CD-49F8-822E-99C8C150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BC"/>
  </w:style>
  <w:style w:type="paragraph" w:styleId="Heading1">
    <w:name w:val="heading 1"/>
    <w:basedOn w:val="Normal"/>
    <w:next w:val="Normal"/>
    <w:link w:val="Heading1Char"/>
    <w:qFormat/>
    <w:rsid w:val="00226D6E"/>
    <w:pPr>
      <w:keepNext/>
      <w:spacing w:after="0" w:line="240" w:lineRule="auto"/>
      <w:ind w:right="-540"/>
      <w:jc w:val="center"/>
      <w:outlineLvl w:val="0"/>
    </w:pPr>
    <w:rPr>
      <w:rFonts w:ascii="Times New Roman" w:eastAsia="Times New Roman" w:hAnsi="Times New Roman" w:cs="Times New Roman"/>
      <w:b/>
      <w:bCs/>
      <w:color w:val="000000"/>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D6E"/>
    <w:rPr>
      <w:rFonts w:ascii="Times New Roman" w:eastAsia="Times New Roman" w:hAnsi="Times New Roman" w:cs="Times New Roman"/>
      <w:b/>
      <w:bCs/>
      <w:color w:val="000000"/>
      <w:sz w:val="24"/>
      <w:szCs w:val="24"/>
      <w:lang w:val="en-GB" w:bidi="ar-SA"/>
    </w:rPr>
  </w:style>
  <w:style w:type="paragraph" w:styleId="BodyTextIndent">
    <w:name w:val="Body Text Indent"/>
    <w:basedOn w:val="Normal"/>
    <w:link w:val="BodyTextIndentChar"/>
    <w:semiHidden/>
    <w:unhideWhenUsed/>
    <w:rsid w:val="00226D6E"/>
    <w:pPr>
      <w:spacing w:after="0" w:line="240" w:lineRule="auto"/>
      <w:ind w:firstLine="720"/>
      <w:jc w:val="both"/>
    </w:pPr>
    <w:rPr>
      <w:rFonts w:ascii="Times New Roman" w:eastAsia="Times New Roman" w:hAnsi="Times New Roman" w:cs="Times New Roman"/>
      <w:sz w:val="24"/>
      <w:szCs w:val="24"/>
      <w:lang w:val="en-GB" w:bidi="ar-SA"/>
    </w:rPr>
  </w:style>
  <w:style w:type="character" w:customStyle="1" w:styleId="BodyTextIndentChar">
    <w:name w:val="Body Text Indent Char"/>
    <w:basedOn w:val="DefaultParagraphFont"/>
    <w:link w:val="BodyTextIndent"/>
    <w:semiHidden/>
    <w:rsid w:val="00226D6E"/>
    <w:rPr>
      <w:rFonts w:ascii="Times New Roman" w:eastAsia="Times New Roman" w:hAnsi="Times New Roman" w:cs="Times New Roman"/>
      <w:sz w:val="24"/>
      <w:szCs w:val="24"/>
      <w:lang w:val="en-GB" w:bidi="ar-SA"/>
    </w:rPr>
  </w:style>
  <w:style w:type="table" w:styleId="TableGrid">
    <w:name w:val="Table Grid"/>
    <w:basedOn w:val="TableNormal"/>
    <w:uiPriority w:val="59"/>
    <w:rsid w:val="00226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0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Mona Sedwal</cp:lastModifiedBy>
  <cp:revision>2</cp:revision>
  <cp:lastPrinted>2016-04-13T09:07:00Z</cp:lastPrinted>
  <dcterms:created xsi:type="dcterms:W3CDTF">2022-06-29T09:11:00Z</dcterms:created>
  <dcterms:modified xsi:type="dcterms:W3CDTF">2022-06-29T09:11:00Z</dcterms:modified>
</cp:coreProperties>
</file>