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ECA5" w14:textId="77777777" w:rsidR="00633B0B" w:rsidRPr="00633B0B" w:rsidRDefault="00633B0B" w:rsidP="00633B0B">
      <w:pPr>
        <w:autoSpaceDE w:val="0"/>
        <w:autoSpaceDN w:val="0"/>
        <w:adjustRightInd w:val="0"/>
        <w:spacing w:after="0" w:line="276" w:lineRule="auto"/>
        <w:jc w:val="center"/>
        <w:rPr>
          <w:rFonts w:ascii="SymantecSansMedium" w:hAnsi="SymantecSansMedium" w:cs="SymantecSansMedium"/>
          <w:b/>
          <w:color w:val="173D66"/>
          <w:sz w:val="34"/>
          <w:szCs w:val="26"/>
        </w:rPr>
      </w:pPr>
      <w:r w:rsidRPr="00633B0B">
        <w:rPr>
          <w:rFonts w:ascii="SymantecSansMedium" w:hAnsi="SymantecSansMedium" w:cs="SymantecSansMedium"/>
          <w:b/>
          <w:color w:val="173D66"/>
          <w:sz w:val="34"/>
          <w:szCs w:val="26"/>
        </w:rPr>
        <w:t>Amity Institute of Training and Development</w:t>
      </w:r>
    </w:p>
    <w:p w14:paraId="4B2164C3" w14:textId="77777777" w:rsidR="00D17F52" w:rsidRDefault="00D17F52" w:rsidP="00633B0B">
      <w:pPr>
        <w:autoSpaceDE w:val="0"/>
        <w:autoSpaceDN w:val="0"/>
        <w:adjustRightInd w:val="0"/>
        <w:spacing w:after="0" w:line="276" w:lineRule="auto"/>
        <w:jc w:val="center"/>
        <w:rPr>
          <w:rFonts w:ascii="SymantecSansMedium" w:hAnsi="SymantecSansMedium" w:cs="SymantecSansMedium"/>
          <w:b/>
          <w:color w:val="173D66"/>
          <w:sz w:val="34"/>
          <w:szCs w:val="26"/>
        </w:rPr>
      </w:pPr>
    </w:p>
    <w:p w14:paraId="5B235931" w14:textId="77777777" w:rsidR="00633B0B" w:rsidRPr="00633B0B" w:rsidRDefault="00084A61" w:rsidP="00633B0B">
      <w:pPr>
        <w:autoSpaceDE w:val="0"/>
        <w:autoSpaceDN w:val="0"/>
        <w:adjustRightInd w:val="0"/>
        <w:spacing w:after="0" w:line="276" w:lineRule="auto"/>
        <w:jc w:val="center"/>
        <w:rPr>
          <w:rFonts w:ascii="SymantecSansLight" w:hAnsi="SymantecSansLight" w:cs="SymantecSansLight"/>
          <w:b/>
          <w:sz w:val="54"/>
          <w:szCs w:val="50"/>
        </w:rPr>
      </w:pPr>
      <w:r>
        <w:rPr>
          <w:rFonts w:ascii="SymantecSansMedium" w:hAnsi="SymantecSansMedium" w:cs="SymantecSansMedium"/>
          <w:b/>
          <w:color w:val="173D66"/>
          <w:sz w:val="34"/>
          <w:szCs w:val="26"/>
        </w:rPr>
        <w:t xml:space="preserve">The Art of Communication: Unleashing the Effective Communicator within you. </w:t>
      </w:r>
    </w:p>
    <w:p w14:paraId="76218A29" w14:textId="77777777" w:rsidR="00D17F52" w:rsidRDefault="00D17F52" w:rsidP="00D12EC7">
      <w:pPr>
        <w:autoSpaceDE w:val="0"/>
        <w:autoSpaceDN w:val="0"/>
        <w:adjustRightInd w:val="0"/>
        <w:spacing w:after="0" w:line="240" w:lineRule="auto"/>
        <w:rPr>
          <w:rFonts w:ascii="SymantecSansLight" w:hAnsi="SymantecSansLight" w:cs="SymantecSansLight"/>
          <w:color w:val="F68833"/>
          <w:sz w:val="18"/>
          <w:szCs w:val="50"/>
        </w:rPr>
      </w:pPr>
    </w:p>
    <w:p w14:paraId="7FBE2D2B" w14:textId="77777777" w:rsidR="00D17F52" w:rsidRPr="00633B0B" w:rsidRDefault="00D17F52" w:rsidP="00D12EC7">
      <w:pPr>
        <w:autoSpaceDE w:val="0"/>
        <w:autoSpaceDN w:val="0"/>
        <w:adjustRightInd w:val="0"/>
        <w:spacing w:after="0" w:line="240" w:lineRule="auto"/>
        <w:rPr>
          <w:rFonts w:ascii="SymantecSansLight" w:hAnsi="SymantecSansLight" w:cs="SymantecSansLight"/>
          <w:color w:val="F68833"/>
          <w:sz w:val="18"/>
          <w:szCs w:val="50"/>
        </w:rPr>
      </w:pPr>
    </w:p>
    <w:p w14:paraId="3DD7C893" w14:textId="77777777" w:rsidR="00D12EC7" w:rsidRDefault="00D12EC7" w:rsidP="00D12EC7">
      <w:pPr>
        <w:autoSpaceDE w:val="0"/>
        <w:autoSpaceDN w:val="0"/>
        <w:adjustRightInd w:val="0"/>
        <w:spacing w:after="0" w:line="240" w:lineRule="auto"/>
        <w:rPr>
          <w:rFonts w:ascii="SymantecSansLight" w:hAnsi="SymantecSansLight" w:cs="SymantecSansLight"/>
          <w:color w:val="F68833"/>
          <w:sz w:val="40"/>
          <w:szCs w:val="40"/>
        </w:rPr>
      </w:pPr>
      <w:r w:rsidRPr="00633B0B">
        <w:rPr>
          <w:rFonts w:ascii="SymantecSansLight" w:hAnsi="SymantecSansLight" w:cs="SymantecSansLight"/>
          <w:color w:val="F68833"/>
          <w:sz w:val="40"/>
          <w:szCs w:val="40"/>
        </w:rPr>
        <w:t xml:space="preserve">CONTEXT </w:t>
      </w:r>
    </w:p>
    <w:p w14:paraId="1A369648" w14:textId="77777777" w:rsidR="00D17F52" w:rsidRPr="00D17F52" w:rsidRDefault="00D17F52" w:rsidP="00D12EC7">
      <w:pPr>
        <w:autoSpaceDE w:val="0"/>
        <w:autoSpaceDN w:val="0"/>
        <w:adjustRightInd w:val="0"/>
        <w:spacing w:after="0" w:line="240" w:lineRule="auto"/>
        <w:rPr>
          <w:rFonts w:ascii="SymantecSansLight" w:hAnsi="SymantecSansLight" w:cs="SymantecSansLight"/>
          <w:color w:val="F68833"/>
          <w:szCs w:val="26"/>
        </w:rPr>
      </w:pPr>
    </w:p>
    <w:p w14:paraId="3B300AB1" w14:textId="77777777" w:rsidR="00D12EC7" w:rsidRPr="004D4C89" w:rsidRDefault="00084A61" w:rsidP="00D17F52">
      <w:pPr>
        <w:autoSpaceDE w:val="0"/>
        <w:autoSpaceDN w:val="0"/>
        <w:adjustRightInd w:val="0"/>
        <w:spacing w:after="0" w:line="360" w:lineRule="auto"/>
        <w:jc w:val="both"/>
        <w:rPr>
          <w:rFonts w:ascii="SymantecSansMedium" w:hAnsi="SymantecSansMedium" w:cs="SymantecSansMedium"/>
          <w:color w:val="173D66"/>
          <w:sz w:val="26"/>
          <w:szCs w:val="26"/>
        </w:rPr>
      </w:pPr>
      <w:r>
        <w:rPr>
          <w:rFonts w:ascii="SymantecSansMedium" w:hAnsi="SymantecSansMedium" w:cs="SymantecSansMedium"/>
          <w:color w:val="173D66"/>
          <w:sz w:val="26"/>
          <w:szCs w:val="26"/>
        </w:rPr>
        <w:t xml:space="preserve">Professionals and managers at all levels must rely upon sound communication for effective relationships.  Concise, clear and confident communications create the right impact and help you in engaging and managing people.  Effective communication skills help you to inspire </w:t>
      </w:r>
      <w:r w:rsidR="00FF6843">
        <w:rPr>
          <w:rFonts w:ascii="SymantecSansMedium" w:hAnsi="SymantecSansMedium" w:cs="SymantecSansMedium"/>
          <w:color w:val="173D66"/>
          <w:sz w:val="26"/>
          <w:szCs w:val="26"/>
        </w:rPr>
        <w:t>oth</w:t>
      </w:r>
      <w:r>
        <w:rPr>
          <w:rFonts w:ascii="SymantecSansMedium" w:hAnsi="SymantecSansMedium" w:cs="SymantecSansMedium"/>
          <w:color w:val="173D66"/>
          <w:sz w:val="26"/>
          <w:szCs w:val="26"/>
        </w:rPr>
        <w:t xml:space="preserve">ers and sell your ideas and influence others.  </w:t>
      </w:r>
    </w:p>
    <w:p w14:paraId="3D170D88" w14:textId="77777777" w:rsidR="00D12EC7" w:rsidRPr="004D4C89" w:rsidRDefault="00D12EC7" w:rsidP="00D17F52">
      <w:pPr>
        <w:autoSpaceDE w:val="0"/>
        <w:autoSpaceDN w:val="0"/>
        <w:adjustRightInd w:val="0"/>
        <w:spacing w:after="0" w:line="360" w:lineRule="auto"/>
        <w:jc w:val="both"/>
        <w:rPr>
          <w:rFonts w:ascii="SymantecSansMedium" w:hAnsi="SymantecSansMedium" w:cs="SymantecSansMedium"/>
          <w:color w:val="173D66"/>
          <w:sz w:val="26"/>
          <w:szCs w:val="26"/>
        </w:rPr>
      </w:pPr>
    </w:p>
    <w:p w14:paraId="386EDD18" w14:textId="77777777" w:rsidR="00D12EC7" w:rsidRPr="004D4C89" w:rsidRDefault="00084A61" w:rsidP="00D17F52">
      <w:pPr>
        <w:autoSpaceDE w:val="0"/>
        <w:autoSpaceDN w:val="0"/>
        <w:adjustRightInd w:val="0"/>
        <w:spacing w:after="0" w:line="360" w:lineRule="auto"/>
        <w:jc w:val="both"/>
        <w:rPr>
          <w:rFonts w:ascii="SymantecSansMedium" w:hAnsi="SymantecSansMedium" w:cs="SymantecSansMedium"/>
          <w:color w:val="173D66"/>
          <w:sz w:val="26"/>
          <w:szCs w:val="26"/>
        </w:rPr>
      </w:pPr>
      <w:bookmarkStart w:id="0" w:name="_Hlk27746559"/>
      <w:r>
        <w:rPr>
          <w:rFonts w:ascii="SymantecSansMedium" w:hAnsi="SymantecSansMedium" w:cs="SymantecSansMedium"/>
          <w:color w:val="173D66"/>
          <w:sz w:val="26"/>
          <w:szCs w:val="26"/>
        </w:rPr>
        <w:t>This communication course provides the effective communication skills in the work place needed to handle all types of situations with a flexible genuine, and self-confident approach and build collaborative relationships based on trust and respect.</w:t>
      </w:r>
    </w:p>
    <w:bookmarkEnd w:id="0"/>
    <w:p w14:paraId="1024AE86" w14:textId="77777777" w:rsidR="00D12EC7" w:rsidRPr="00633B0B" w:rsidRDefault="00D12EC7" w:rsidP="00D12EC7">
      <w:pPr>
        <w:autoSpaceDE w:val="0"/>
        <w:autoSpaceDN w:val="0"/>
        <w:adjustRightInd w:val="0"/>
        <w:spacing w:after="0" w:line="240" w:lineRule="auto"/>
        <w:rPr>
          <w:rFonts w:ascii="SymantecSansMedium" w:hAnsi="SymantecSansMedium" w:cs="SymantecSansMedium"/>
          <w:color w:val="173D66"/>
          <w:sz w:val="26"/>
          <w:szCs w:val="32"/>
        </w:rPr>
      </w:pPr>
    </w:p>
    <w:p w14:paraId="6A48051F" w14:textId="77777777" w:rsidR="00D12EC7" w:rsidRDefault="00D12EC7" w:rsidP="00D12EC7">
      <w:pPr>
        <w:autoSpaceDE w:val="0"/>
        <w:autoSpaceDN w:val="0"/>
        <w:adjustRightInd w:val="0"/>
        <w:spacing w:after="0" w:line="240" w:lineRule="auto"/>
        <w:rPr>
          <w:rFonts w:ascii="SymantecSansLight" w:hAnsi="SymantecSansLight" w:cs="SymantecSansLight"/>
          <w:color w:val="F68833"/>
          <w:sz w:val="44"/>
          <w:szCs w:val="44"/>
        </w:rPr>
      </w:pPr>
      <w:r w:rsidRPr="00633B0B">
        <w:rPr>
          <w:rFonts w:ascii="SymantecSansLight" w:hAnsi="SymantecSansLight" w:cs="SymantecSansLight"/>
          <w:color w:val="F68833"/>
          <w:sz w:val="44"/>
          <w:szCs w:val="44"/>
        </w:rPr>
        <w:t>KEY BENEFITS</w:t>
      </w:r>
    </w:p>
    <w:p w14:paraId="67F96A2C" w14:textId="77777777" w:rsidR="00D17F52" w:rsidRPr="00D17F52" w:rsidRDefault="00D17F52" w:rsidP="00D12EC7">
      <w:pPr>
        <w:autoSpaceDE w:val="0"/>
        <w:autoSpaceDN w:val="0"/>
        <w:adjustRightInd w:val="0"/>
        <w:spacing w:after="0" w:line="240" w:lineRule="auto"/>
        <w:rPr>
          <w:rFonts w:ascii="SymantecSansLight" w:hAnsi="SymantecSansLight" w:cs="SymantecSansLight"/>
          <w:color w:val="F68833"/>
          <w:sz w:val="8"/>
          <w:szCs w:val="44"/>
        </w:rPr>
      </w:pPr>
    </w:p>
    <w:p w14:paraId="666B1A1C" w14:textId="77777777" w:rsidR="00D12EC7" w:rsidRPr="004D4C89" w:rsidRDefault="00084A61" w:rsidP="00D17F52">
      <w:pPr>
        <w:pStyle w:val="ListParagraph"/>
        <w:numPr>
          <w:ilvl w:val="0"/>
          <w:numId w:val="1"/>
        </w:numPr>
        <w:autoSpaceDE w:val="0"/>
        <w:autoSpaceDN w:val="0"/>
        <w:adjustRightInd w:val="0"/>
        <w:spacing w:after="0" w:line="360" w:lineRule="auto"/>
        <w:jc w:val="both"/>
        <w:rPr>
          <w:rFonts w:ascii="SymantecSansMedium" w:hAnsi="SymantecSansMedium" w:cs="SymantecSansMedium"/>
          <w:color w:val="173D66"/>
          <w:sz w:val="26"/>
          <w:szCs w:val="26"/>
        </w:rPr>
      </w:pPr>
      <w:r>
        <w:rPr>
          <w:rFonts w:ascii="SymantecSansMedium" w:hAnsi="SymantecSansMedium" w:cs="SymantecSansMedium"/>
          <w:color w:val="173D66"/>
          <w:sz w:val="26"/>
          <w:szCs w:val="26"/>
        </w:rPr>
        <w:t>Build collaborative relationships that emphasize trust and respect.</w:t>
      </w:r>
    </w:p>
    <w:p w14:paraId="35D5953D" w14:textId="77777777" w:rsidR="00D12EC7" w:rsidRDefault="00084A61" w:rsidP="00D17F52">
      <w:pPr>
        <w:pStyle w:val="ListParagraph"/>
        <w:numPr>
          <w:ilvl w:val="0"/>
          <w:numId w:val="1"/>
        </w:numPr>
        <w:autoSpaceDE w:val="0"/>
        <w:autoSpaceDN w:val="0"/>
        <w:adjustRightInd w:val="0"/>
        <w:spacing w:after="0" w:line="360" w:lineRule="auto"/>
        <w:jc w:val="both"/>
        <w:rPr>
          <w:rFonts w:ascii="SymantecSansMedium" w:hAnsi="SymantecSansMedium" w:cs="SymantecSansMedium"/>
          <w:color w:val="173D66"/>
          <w:sz w:val="26"/>
          <w:szCs w:val="26"/>
        </w:rPr>
      </w:pPr>
      <w:r>
        <w:rPr>
          <w:rFonts w:ascii="SymantecSansMedium" w:hAnsi="SymantecSansMedium" w:cs="SymantecSansMedium"/>
          <w:color w:val="173D66"/>
          <w:sz w:val="26"/>
          <w:szCs w:val="26"/>
        </w:rPr>
        <w:t>Communicate effectively using simple and concise language.</w:t>
      </w:r>
    </w:p>
    <w:p w14:paraId="5DCB22AB" w14:textId="77777777" w:rsidR="00084A61" w:rsidRDefault="00084A61" w:rsidP="00D17F52">
      <w:pPr>
        <w:pStyle w:val="ListParagraph"/>
        <w:numPr>
          <w:ilvl w:val="0"/>
          <w:numId w:val="1"/>
        </w:numPr>
        <w:autoSpaceDE w:val="0"/>
        <w:autoSpaceDN w:val="0"/>
        <w:adjustRightInd w:val="0"/>
        <w:spacing w:after="0" w:line="360" w:lineRule="auto"/>
        <w:jc w:val="both"/>
        <w:rPr>
          <w:rFonts w:ascii="SymantecSansMedium" w:hAnsi="SymantecSansMedium" w:cs="SymantecSansMedium"/>
          <w:color w:val="173D66"/>
          <w:sz w:val="26"/>
          <w:szCs w:val="26"/>
        </w:rPr>
      </w:pPr>
      <w:r>
        <w:rPr>
          <w:rFonts w:ascii="SymantecSansMedium" w:hAnsi="SymantecSansMedium" w:cs="SymantecSansMedium"/>
          <w:color w:val="173D66"/>
          <w:sz w:val="26"/>
          <w:szCs w:val="26"/>
        </w:rPr>
        <w:t>Enhance listening to anticipate and avoid misunderstandings</w:t>
      </w:r>
      <w:r w:rsidR="00FF6843">
        <w:rPr>
          <w:rFonts w:ascii="SymantecSansMedium" w:hAnsi="SymantecSansMedium" w:cs="SymantecSansMedium"/>
          <w:color w:val="173D66"/>
          <w:sz w:val="26"/>
          <w:szCs w:val="26"/>
        </w:rPr>
        <w:t>.</w:t>
      </w:r>
    </w:p>
    <w:p w14:paraId="54FDEE55" w14:textId="77777777" w:rsidR="00084A61" w:rsidRDefault="00084A61" w:rsidP="00D17F52">
      <w:pPr>
        <w:pStyle w:val="ListParagraph"/>
        <w:numPr>
          <w:ilvl w:val="0"/>
          <w:numId w:val="1"/>
        </w:numPr>
        <w:autoSpaceDE w:val="0"/>
        <w:autoSpaceDN w:val="0"/>
        <w:adjustRightInd w:val="0"/>
        <w:spacing w:after="0" w:line="360" w:lineRule="auto"/>
        <w:jc w:val="both"/>
        <w:rPr>
          <w:rFonts w:ascii="SymantecSansMedium" w:hAnsi="SymantecSansMedium" w:cs="SymantecSansMedium"/>
          <w:color w:val="173D66"/>
          <w:sz w:val="26"/>
          <w:szCs w:val="26"/>
        </w:rPr>
      </w:pPr>
      <w:r>
        <w:rPr>
          <w:rFonts w:ascii="SymantecSansMedium" w:hAnsi="SymantecSansMedium" w:cs="SymantecSansMedium"/>
          <w:color w:val="173D66"/>
          <w:sz w:val="26"/>
          <w:szCs w:val="26"/>
        </w:rPr>
        <w:t>Foster cross-cultural understanding in your workplace</w:t>
      </w:r>
      <w:r w:rsidR="00FF6843">
        <w:rPr>
          <w:rFonts w:ascii="SymantecSansMedium" w:hAnsi="SymantecSansMedium" w:cs="SymantecSansMedium"/>
          <w:color w:val="173D66"/>
          <w:sz w:val="26"/>
          <w:szCs w:val="26"/>
        </w:rPr>
        <w:t>.</w:t>
      </w:r>
    </w:p>
    <w:p w14:paraId="2CAD2885" w14:textId="77777777" w:rsidR="00084A61" w:rsidRDefault="00084A61" w:rsidP="00D17F52">
      <w:pPr>
        <w:pStyle w:val="ListParagraph"/>
        <w:numPr>
          <w:ilvl w:val="0"/>
          <w:numId w:val="1"/>
        </w:numPr>
        <w:autoSpaceDE w:val="0"/>
        <w:autoSpaceDN w:val="0"/>
        <w:adjustRightInd w:val="0"/>
        <w:spacing w:after="0" w:line="360" w:lineRule="auto"/>
        <w:jc w:val="both"/>
        <w:rPr>
          <w:rFonts w:ascii="SymantecSansMedium" w:hAnsi="SymantecSansMedium" w:cs="SymantecSansMedium"/>
          <w:color w:val="173D66"/>
          <w:sz w:val="26"/>
          <w:szCs w:val="26"/>
        </w:rPr>
      </w:pPr>
      <w:r>
        <w:rPr>
          <w:rFonts w:ascii="SymantecSansMedium" w:hAnsi="SymantecSansMedium" w:cs="SymantecSansMedium"/>
          <w:color w:val="173D66"/>
          <w:sz w:val="26"/>
          <w:szCs w:val="26"/>
        </w:rPr>
        <w:t>Eliminate communication road blocks and focus on nonverbal cues.</w:t>
      </w:r>
    </w:p>
    <w:p w14:paraId="09F8308A" w14:textId="77777777" w:rsidR="00D12EC7" w:rsidRDefault="00D12EC7" w:rsidP="00D12EC7">
      <w:pPr>
        <w:autoSpaceDE w:val="0"/>
        <w:autoSpaceDN w:val="0"/>
        <w:adjustRightInd w:val="0"/>
        <w:spacing w:after="0" w:line="240" w:lineRule="auto"/>
        <w:rPr>
          <w:rFonts w:ascii="SymantecSansMedium" w:hAnsi="SymantecSansMedium" w:cs="SymantecSansMedium"/>
          <w:color w:val="173D66"/>
          <w:sz w:val="28"/>
          <w:szCs w:val="28"/>
        </w:rPr>
      </w:pPr>
    </w:p>
    <w:p w14:paraId="116AD6C8" w14:textId="77777777" w:rsidR="00D12EC7" w:rsidRDefault="00D12EC7" w:rsidP="00D12EC7">
      <w:pPr>
        <w:autoSpaceDE w:val="0"/>
        <w:autoSpaceDN w:val="0"/>
        <w:adjustRightInd w:val="0"/>
        <w:spacing w:after="0" w:line="240" w:lineRule="auto"/>
        <w:rPr>
          <w:rFonts w:ascii="SymantecSansLight" w:hAnsi="SymantecSansLight" w:cs="SymantecSansLight"/>
          <w:color w:val="F68833"/>
          <w:sz w:val="40"/>
          <w:szCs w:val="40"/>
        </w:rPr>
      </w:pPr>
      <w:r w:rsidRPr="00633B0B">
        <w:rPr>
          <w:rFonts w:ascii="SymantecSansLight" w:hAnsi="SymantecSansLight" w:cs="SymantecSansLight"/>
          <w:color w:val="F68833"/>
          <w:sz w:val="40"/>
          <w:szCs w:val="40"/>
        </w:rPr>
        <w:t>PROGRAM CONTENT</w:t>
      </w:r>
    </w:p>
    <w:p w14:paraId="4ABE766B" w14:textId="77777777" w:rsidR="00D17F52" w:rsidRPr="00D17F52" w:rsidRDefault="00D17F52" w:rsidP="00D12EC7">
      <w:pPr>
        <w:autoSpaceDE w:val="0"/>
        <w:autoSpaceDN w:val="0"/>
        <w:adjustRightInd w:val="0"/>
        <w:spacing w:after="0" w:line="240" w:lineRule="auto"/>
        <w:rPr>
          <w:rFonts w:ascii="SymantecSansLight" w:hAnsi="SymantecSansLight" w:cs="SymantecSansLight"/>
          <w:color w:val="F68833"/>
          <w:sz w:val="24"/>
          <w:szCs w:val="40"/>
        </w:rPr>
      </w:pPr>
    </w:p>
    <w:p w14:paraId="07D1D6D1" w14:textId="77777777" w:rsidR="00D12EC7" w:rsidRDefault="009438CB" w:rsidP="00D17F52">
      <w:pPr>
        <w:autoSpaceDE w:val="0"/>
        <w:autoSpaceDN w:val="0"/>
        <w:adjustRightInd w:val="0"/>
        <w:spacing w:after="0" w:line="360" w:lineRule="auto"/>
        <w:jc w:val="both"/>
        <w:rPr>
          <w:rFonts w:ascii="SymantecSansMedium" w:hAnsi="SymantecSansMedium" w:cs="SymantecSansMedium"/>
          <w:color w:val="173D66"/>
          <w:sz w:val="26"/>
          <w:szCs w:val="26"/>
        </w:rPr>
      </w:pPr>
      <w:r>
        <w:rPr>
          <w:rFonts w:ascii="SymantecSansMedium" w:hAnsi="SymantecSansMedium" w:cs="SymantecSansMedium"/>
          <w:color w:val="173D66"/>
          <w:sz w:val="26"/>
          <w:szCs w:val="26"/>
        </w:rPr>
        <w:t>Through interactive workshops, self-assessments, role-playing activities and video simulations, you gain practical experience initiating and responding to various forms of communication.  Content includes:</w:t>
      </w:r>
    </w:p>
    <w:p w14:paraId="182AD1A4" w14:textId="77777777" w:rsidR="00D12EC7" w:rsidRDefault="00D12EC7" w:rsidP="00D12EC7">
      <w:pPr>
        <w:autoSpaceDE w:val="0"/>
        <w:autoSpaceDN w:val="0"/>
        <w:adjustRightInd w:val="0"/>
        <w:spacing w:after="0" w:line="240" w:lineRule="auto"/>
        <w:jc w:val="both"/>
        <w:rPr>
          <w:rFonts w:ascii="SymantecSansMedium" w:hAnsi="SymantecSansMedium" w:cs="SymantecSansMedium"/>
          <w:color w:val="173D66"/>
          <w:sz w:val="26"/>
          <w:szCs w:val="26"/>
        </w:rPr>
      </w:pPr>
    </w:p>
    <w:p w14:paraId="3DB93F85" w14:textId="77777777" w:rsidR="009438CB" w:rsidRDefault="009438CB">
      <w:pPr>
        <w:rPr>
          <w:rFonts w:ascii="SymantecSansMedium" w:hAnsi="SymantecSansMedium" w:cs="SymantecSansMedium"/>
          <w:color w:val="173D66"/>
          <w:sz w:val="26"/>
          <w:szCs w:val="26"/>
        </w:rPr>
      </w:pPr>
      <w:r>
        <w:rPr>
          <w:rFonts w:ascii="SymantecSansMedium" w:hAnsi="SymantecSansMedium" w:cs="SymantecSansMedium"/>
          <w:color w:val="173D66"/>
          <w:sz w:val="26"/>
          <w:szCs w:val="26"/>
        </w:rPr>
        <w:br w:type="page"/>
      </w:r>
    </w:p>
    <w:p w14:paraId="06C69AFA" w14:textId="77777777" w:rsidR="003A22B5" w:rsidRPr="004D4C89" w:rsidRDefault="003A22B5" w:rsidP="00D12EC7">
      <w:pPr>
        <w:autoSpaceDE w:val="0"/>
        <w:autoSpaceDN w:val="0"/>
        <w:adjustRightInd w:val="0"/>
        <w:spacing w:after="0" w:line="240" w:lineRule="auto"/>
        <w:jc w:val="both"/>
        <w:rPr>
          <w:rFonts w:ascii="SymantecSansMedium" w:hAnsi="SymantecSansMedium" w:cs="SymantecSansMedium"/>
          <w:color w:val="173D66"/>
          <w:sz w:val="26"/>
          <w:szCs w:val="26"/>
        </w:rPr>
      </w:pPr>
    </w:p>
    <w:tbl>
      <w:tblPr>
        <w:tblStyle w:val="TableGrid"/>
        <w:tblW w:w="9067" w:type="dxa"/>
        <w:tblLook w:val="04A0" w:firstRow="1" w:lastRow="0" w:firstColumn="1" w:lastColumn="0" w:noHBand="0" w:noVBand="1"/>
      </w:tblPr>
      <w:tblGrid>
        <w:gridCol w:w="3964"/>
        <w:gridCol w:w="709"/>
        <w:gridCol w:w="4394"/>
      </w:tblGrid>
      <w:tr w:rsidR="009438CB" w:rsidRPr="00E74B69" w14:paraId="38AD6AA7" w14:textId="77777777" w:rsidTr="009438CB">
        <w:tc>
          <w:tcPr>
            <w:tcW w:w="3964" w:type="dxa"/>
            <w:tcBorders>
              <w:right w:val="single" w:sz="4" w:space="0" w:color="auto"/>
            </w:tcBorders>
            <w:shd w:val="clear" w:color="auto" w:fill="F2F2F2" w:themeFill="background1" w:themeFillShade="F2"/>
          </w:tcPr>
          <w:p w14:paraId="0C340B24" w14:textId="77777777" w:rsidR="009438CB" w:rsidRPr="009438CB" w:rsidRDefault="009438CB" w:rsidP="00120EBB">
            <w:pPr>
              <w:autoSpaceDE w:val="0"/>
              <w:autoSpaceDN w:val="0"/>
              <w:adjustRightInd w:val="0"/>
              <w:spacing w:line="360" w:lineRule="auto"/>
              <w:jc w:val="center"/>
              <w:rPr>
                <w:b/>
                <w:sz w:val="24"/>
                <w:szCs w:val="24"/>
              </w:rPr>
            </w:pPr>
            <w:r w:rsidRPr="009438CB">
              <w:rPr>
                <w:rFonts w:ascii="SymantecSansMedium" w:hAnsi="SymantecSansMedium" w:cs="SymantecSansMedium"/>
                <w:b/>
                <w:color w:val="173D66"/>
                <w:sz w:val="26"/>
                <w:szCs w:val="26"/>
              </w:rPr>
              <w:t>Building a Foundation</w:t>
            </w:r>
          </w:p>
        </w:tc>
        <w:tc>
          <w:tcPr>
            <w:tcW w:w="709" w:type="dxa"/>
            <w:tcBorders>
              <w:top w:val="nil"/>
              <w:left w:val="single" w:sz="4" w:space="0" w:color="auto"/>
              <w:bottom w:val="nil"/>
              <w:right w:val="single" w:sz="4" w:space="0" w:color="auto"/>
            </w:tcBorders>
            <w:shd w:val="clear" w:color="auto" w:fill="auto"/>
          </w:tcPr>
          <w:p w14:paraId="439C1EE6" w14:textId="77777777" w:rsidR="009438CB" w:rsidRPr="009438CB" w:rsidRDefault="009438CB" w:rsidP="009438CB"/>
        </w:tc>
        <w:tc>
          <w:tcPr>
            <w:tcW w:w="4394" w:type="dxa"/>
            <w:tcBorders>
              <w:left w:val="single" w:sz="4" w:space="0" w:color="auto"/>
            </w:tcBorders>
            <w:shd w:val="clear" w:color="auto" w:fill="F2F2F2" w:themeFill="background1" w:themeFillShade="F2"/>
          </w:tcPr>
          <w:p w14:paraId="575A2795" w14:textId="77777777" w:rsidR="009438CB" w:rsidRPr="004D4C89" w:rsidRDefault="009438CB" w:rsidP="009438CB">
            <w:pPr>
              <w:autoSpaceDE w:val="0"/>
              <w:autoSpaceDN w:val="0"/>
              <w:adjustRightInd w:val="0"/>
              <w:jc w:val="both"/>
              <w:rPr>
                <w:b/>
                <w:sz w:val="24"/>
                <w:szCs w:val="24"/>
              </w:rPr>
            </w:pPr>
            <w:r w:rsidRPr="009438CB">
              <w:rPr>
                <w:rFonts w:ascii="SymantecSansMedium" w:hAnsi="SymantecSansMedium" w:cs="SymantecSansMedium"/>
                <w:b/>
                <w:color w:val="173D66"/>
                <w:sz w:val="26"/>
                <w:szCs w:val="26"/>
              </w:rPr>
              <w:t>Setting Clear Goals for Your Communications</w:t>
            </w:r>
            <w:r>
              <w:rPr>
                <w:b/>
                <w:sz w:val="24"/>
                <w:szCs w:val="24"/>
              </w:rPr>
              <w:t xml:space="preserve"> </w:t>
            </w:r>
          </w:p>
        </w:tc>
      </w:tr>
      <w:tr w:rsidR="009438CB" w:rsidRPr="00E74B69" w14:paraId="6BB142F8" w14:textId="77777777" w:rsidTr="009438CB">
        <w:tc>
          <w:tcPr>
            <w:tcW w:w="3964" w:type="dxa"/>
            <w:tcBorders>
              <w:right w:val="single" w:sz="4" w:space="0" w:color="auto"/>
            </w:tcBorders>
          </w:tcPr>
          <w:p w14:paraId="6FE1553E" w14:textId="77777777" w:rsidR="009438CB" w:rsidRPr="00E03994" w:rsidRDefault="009438CB" w:rsidP="00D17F52">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 xml:space="preserve">Adopting simple, concise &amp; direct Language </w:t>
            </w:r>
          </w:p>
          <w:p w14:paraId="32901DCA" w14:textId="77777777" w:rsidR="009438CB" w:rsidRPr="00E03994" w:rsidRDefault="009438CB" w:rsidP="00D17F52">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Basic communication principles</w:t>
            </w:r>
          </w:p>
          <w:p w14:paraId="5DD3A85F" w14:textId="77777777" w:rsidR="009438CB" w:rsidRPr="004D4C89" w:rsidRDefault="009438CB" w:rsidP="00D17F52">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Applying communication process model.</w:t>
            </w:r>
          </w:p>
        </w:tc>
        <w:tc>
          <w:tcPr>
            <w:tcW w:w="709" w:type="dxa"/>
            <w:tcBorders>
              <w:top w:val="nil"/>
              <w:left w:val="single" w:sz="4" w:space="0" w:color="auto"/>
              <w:bottom w:val="nil"/>
              <w:right w:val="single" w:sz="4" w:space="0" w:color="auto"/>
            </w:tcBorders>
            <w:shd w:val="clear" w:color="auto" w:fill="auto"/>
          </w:tcPr>
          <w:p w14:paraId="1BEF241F" w14:textId="77777777" w:rsidR="009438CB" w:rsidRPr="00633B0B" w:rsidRDefault="009438CB" w:rsidP="009438CB">
            <w:pPr>
              <w:pStyle w:val="ListParagraph"/>
              <w:autoSpaceDE w:val="0"/>
              <w:autoSpaceDN w:val="0"/>
              <w:adjustRightInd w:val="0"/>
              <w:spacing w:line="276" w:lineRule="auto"/>
              <w:ind w:left="205"/>
              <w:jc w:val="both"/>
              <w:rPr>
                <w:rFonts w:ascii="SymantecSansMedium" w:hAnsi="SymantecSansMedium" w:cs="SymantecSansMedium"/>
                <w:color w:val="173D66"/>
                <w:sz w:val="24"/>
                <w:szCs w:val="24"/>
              </w:rPr>
            </w:pPr>
          </w:p>
        </w:tc>
        <w:tc>
          <w:tcPr>
            <w:tcW w:w="4394" w:type="dxa"/>
            <w:tcBorders>
              <w:left w:val="single" w:sz="4" w:space="0" w:color="auto"/>
            </w:tcBorders>
          </w:tcPr>
          <w:p w14:paraId="40498A69" w14:textId="77777777" w:rsidR="009438CB" w:rsidRPr="00E03994" w:rsidRDefault="009438CB" w:rsidP="009438CB">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Determining outcomes &amp; results</w:t>
            </w:r>
          </w:p>
          <w:p w14:paraId="604FAD1E" w14:textId="77777777" w:rsidR="009438CB" w:rsidRPr="00633B0B" w:rsidRDefault="009438CB" w:rsidP="009438CB">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Initiating Communications</w:t>
            </w:r>
            <w:r>
              <w:rPr>
                <w:rFonts w:ascii="SymantecSansMedium" w:hAnsi="SymantecSansMedium" w:cs="SymantecSansMedium"/>
                <w:color w:val="173D66"/>
                <w:sz w:val="24"/>
                <w:szCs w:val="24"/>
              </w:rPr>
              <w:t xml:space="preserve"> </w:t>
            </w:r>
          </w:p>
        </w:tc>
      </w:tr>
    </w:tbl>
    <w:p w14:paraId="0A631397" w14:textId="77777777" w:rsidR="00854672" w:rsidRDefault="00854672" w:rsidP="00D17F52">
      <w:pPr>
        <w:spacing w:line="276" w:lineRule="auto"/>
        <w:jc w:val="both"/>
        <w:rPr>
          <w:sz w:val="24"/>
          <w:szCs w:val="24"/>
        </w:rPr>
      </w:pPr>
    </w:p>
    <w:tbl>
      <w:tblPr>
        <w:tblStyle w:val="TableGrid"/>
        <w:tblW w:w="9067" w:type="dxa"/>
        <w:tblLook w:val="04A0" w:firstRow="1" w:lastRow="0" w:firstColumn="1" w:lastColumn="0" w:noHBand="0" w:noVBand="1"/>
      </w:tblPr>
      <w:tblGrid>
        <w:gridCol w:w="3964"/>
        <w:gridCol w:w="709"/>
        <w:gridCol w:w="4394"/>
      </w:tblGrid>
      <w:tr w:rsidR="00E03994" w:rsidRPr="00E74B69" w14:paraId="0843E976" w14:textId="77777777" w:rsidTr="00A50BE5">
        <w:tc>
          <w:tcPr>
            <w:tcW w:w="3964" w:type="dxa"/>
            <w:tcBorders>
              <w:right w:val="single" w:sz="4" w:space="0" w:color="auto"/>
            </w:tcBorders>
            <w:shd w:val="clear" w:color="auto" w:fill="F2F2F2" w:themeFill="background1" w:themeFillShade="F2"/>
          </w:tcPr>
          <w:p w14:paraId="15F34620" w14:textId="77777777" w:rsidR="00E03994" w:rsidRPr="009438CB" w:rsidRDefault="00E03994" w:rsidP="00E03994">
            <w:pPr>
              <w:autoSpaceDE w:val="0"/>
              <w:autoSpaceDN w:val="0"/>
              <w:adjustRightInd w:val="0"/>
              <w:jc w:val="center"/>
              <w:rPr>
                <w:b/>
                <w:sz w:val="24"/>
                <w:szCs w:val="24"/>
              </w:rPr>
            </w:pPr>
            <w:r>
              <w:rPr>
                <w:rFonts w:ascii="SymantecSansMedium" w:hAnsi="SymantecSansMedium" w:cs="SymantecSansMedium"/>
                <w:b/>
                <w:color w:val="173D66"/>
                <w:sz w:val="26"/>
                <w:szCs w:val="26"/>
              </w:rPr>
              <w:t>Avoiding Communication Breakdown</w:t>
            </w:r>
          </w:p>
        </w:tc>
        <w:tc>
          <w:tcPr>
            <w:tcW w:w="709" w:type="dxa"/>
            <w:tcBorders>
              <w:top w:val="nil"/>
              <w:left w:val="single" w:sz="4" w:space="0" w:color="auto"/>
              <w:bottom w:val="nil"/>
              <w:right w:val="single" w:sz="4" w:space="0" w:color="auto"/>
            </w:tcBorders>
            <w:shd w:val="clear" w:color="auto" w:fill="auto"/>
          </w:tcPr>
          <w:p w14:paraId="30D5EAEE" w14:textId="77777777" w:rsidR="00E03994" w:rsidRPr="009438CB" w:rsidRDefault="00E03994" w:rsidP="00E03994"/>
        </w:tc>
        <w:tc>
          <w:tcPr>
            <w:tcW w:w="4394" w:type="dxa"/>
            <w:tcBorders>
              <w:left w:val="single" w:sz="4" w:space="0" w:color="auto"/>
            </w:tcBorders>
            <w:shd w:val="clear" w:color="auto" w:fill="F2F2F2" w:themeFill="background1" w:themeFillShade="F2"/>
          </w:tcPr>
          <w:p w14:paraId="19A273DF" w14:textId="77777777" w:rsidR="00E03994" w:rsidRPr="004D4C89" w:rsidRDefault="00E03994" w:rsidP="00E03994">
            <w:pPr>
              <w:autoSpaceDE w:val="0"/>
              <w:autoSpaceDN w:val="0"/>
              <w:adjustRightInd w:val="0"/>
              <w:jc w:val="center"/>
              <w:rPr>
                <w:b/>
                <w:sz w:val="24"/>
                <w:szCs w:val="24"/>
              </w:rPr>
            </w:pPr>
            <w:r>
              <w:rPr>
                <w:rFonts w:ascii="SymantecSansMedium" w:hAnsi="SymantecSansMedium" w:cs="SymantecSansMedium"/>
                <w:b/>
                <w:color w:val="173D66"/>
                <w:sz w:val="26"/>
                <w:szCs w:val="26"/>
              </w:rPr>
              <w:t>Translating across Communication Styles</w:t>
            </w:r>
          </w:p>
        </w:tc>
      </w:tr>
      <w:tr w:rsidR="00E03994" w:rsidRPr="00E74B69" w14:paraId="4C5EB0C9" w14:textId="77777777" w:rsidTr="00A50BE5">
        <w:tc>
          <w:tcPr>
            <w:tcW w:w="3964" w:type="dxa"/>
            <w:tcBorders>
              <w:right w:val="single" w:sz="4" w:space="0" w:color="auto"/>
            </w:tcBorders>
          </w:tcPr>
          <w:p w14:paraId="3060173B" w14:textId="77777777" w:rsidR="00E03994" w:rsidRPr="00E03994"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Creating value in your conversations</w:t>
            </w:r>
          </w:p>
          <w:p w14:paraId="7167F139" w14:textId="77777777" w:rsidR="00E03994" w:rsidRPr="00E03994"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Taking personal responsibility</w:t>
            </w:r>
          </w:p>
          <w:p w14:paraId="3B9DF9CA" w14:textId="77777777" w:rsidR="00E03994" w:rsidRPr="004D4C89" w:rsidRDefault="00E03994" w:rsidP="00E03994">
            <w:pPr>
              <w:pStyle w:val="ListParagraph"/>
              <w:autoSpaceDE w:val="0"/>
              <w:autoSpaceDN w:val="0"/>
              <w:adjustRightInd w:val="0"/>
              <w:spacing w:line="276" w:lineRule="auto"/>
              <w:ind w:left="164"/>
              <w:jc w:val="both"/>
              <w:rPr>
                <w:rFonts w:ascii="SymantecSansMedium" w:hAnsi="SymantecSansMedium" w:cs="SymantecSansMedium"/>
                <w:color w:val="173D66"/>
                <w:sz w:val="24"/>
                <w:szCs w:val="24"/>
              </w:rPr>
            </w:pPr>
          </w:p>
        </w:tc>
        <w:tc>
          <w:tcPr>
            <w:tcW w:w="709" w:type="dxa"/>
            <w:tcBorders>
              <w:top w:val="nil"/>
              <w:left w:val="single" w:sz="4" w:space="0" w:color="auto"/>
              <w:bottom w:val="nil"/>
              <w:right w:val="single" w:sz="4" w:space="0" w:color="auto"/>
            </w:tcBorders>
            <w:shd w:val="clear" w:color="auto" w:fill="auto"/>
          </w:tcPr>
          <w:p w14:paraId="36848B62" w14:textId="77777777" w:rsidR="00E03994" w:rsidRPr="00633B0B" w:rsidRDefault="00E03994" w:rsidP="00A50BE5">
            <w:pPr>
              <w:pStyle w:val="ListParagraph"/>
              <w:autoSpaceDE w:val="0"/>
              <w:autoSpaceDN w:val="0"/>
              <w:adjustRightInd w:val="0"/>
              <w:spacing w:line="276" w:lineRule="auto"/>
              <w:ind w:left="205"/>
              <w:jc w:val="both"/>
              <w:rPr>
                <w:rFonts w:ascii="SymantecSansMedium" w:hAnsi="SymantecSansMedium" w:cs="SymantecSansMedium"/>
                <w:color w:val="173D66"/>
                <w:sz w:val="24"/>
                <w:szCs w:val="24"/>
              </w:rPr>
            </w:pPr>
          </w:p>
        </w:tc>
        <w:tc>
          <w:tcPr>
            <w:tcW w:w="4394" w:type="dxa"/>
            <w:tcBorders>
              <w:left w:val="single" w:sz="4" w:space="0" w:color="auto"/>
            </w:tcBorders>
          </w:tcPr>
          <w:p w14:paraId="15E3EFA4" w14:textId="77777777" w:rsidR="00E03994" w:rsidRPr="00E03994"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Four communication styles</w:t>
            </w:r>
          </w:p>
          <w:p w14:paraId="646D3387" w14:textId="77777777" w:rsidR="00E03994" w:rsidRPr="00633B0B"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Bridging communication styles</w:t>
            </w:r>
          </w:p>
        </w:tc>
      </w:tr>
    </w:tbl>
    <w:p w14:paraId="67B0FAB0" w14:textId="77777777" w:rsidR="00E03994" w:rsidRDefault="00E03994" w:rsidP="00D17F52">
      <w:pPr>
        <w:spacing w:line="276" w:lineRule="auto"/>
        <w:jc w:val="both"/>
        <w:rPr>
          <w:sz w:val="24"/>
          <w:szCs w:val="24"/>
        </w:rPr>
      </w:pPr>
    </w:p>
    <w:tbl>
      <w:tblPr>
        <w:tblStyle w:val="TableGrid"/>
        <w:tblW w:w="9067" w:type="dxa"/>
        <w:tblLook w:val="04A0" w:firstRow="1" w:lastRow="0" w:firstColumn="1" w:lastColumn="0" w:noHBand="0" w:noVBand="1"/>
      </w:tblPr>
      <w:tblGrid>
        <w:gridCol w:w="3964"/>
        <w:gridCol w:w="709"/>
        <w:gridCol w:w="4394"/>
      </w:tblGrid>
      <w:tr w:rsidR="00E03994" w:rsidRPr="00E74B69" w14:paraId="487B2821" w14:textId="77777777" w:rsidTr="00A50BE5">
        <w:tc>
          <w:tcPr>
            <w:tcW w:w="3964" w:type="dxa"/>
            <w:tcBorders>
              <w:right w:val="single" w:sz="4" w:space="0" w:color="auto"/>
            </w:tcBorders>
            <w:shd w:val="clear" w:color="auto" w:fill="F2F2F2" w:themeFill="background1" w:themeFillShade="F2"/>
          </w:tcPr>
          <w:p w14:paraId="0B8E32D1" w14:textId="77777777" w:rsidR="00E03994" w:rsidRPr="009438CB" w:rsidRDefault="00E03994" w:rsidP="00E03994">
            <w:pPr>
              <w:autoSpaceDE w:val="0"/>
              <w:autoSpaceDN w:val="0"/>
              <w:adjustRightInd w:val="0"/>
              <w:jc w:val="center"/>
              <w:rPr>
                <w:b/>
                <w:sz w:val="24"/>
                <w:szCs w:val="24"/>
              </w:rPr>
            </w:pPr>
            <w:r>
              <w:rPr>
                <w:rFonts w:ascii="SymantecSansMedium" w:hAnsi="SymantecSansMedium" w:cs="SymantecSansMedium"/>
                <w:b/>
                <w:color w:val="173D66"/>
                <w:sz w:val="26"/>
                <w:szCs w:val="26"/>
              </w:rPr>
              <w:t xml:space="preserve">Listening for Improved Understanding </w:t>
            </w:r>
          </w:p>
        </w:tc>
        <w:tc>
          <w:tcPr>
            <w:tcW w:w="709" w:type="dxa"/>
            <w:tcBorders>
              <w:top w:val="nil"/>
              <w:left w:val="single" w:sz="4" w:space="0" w:color="auto"/>
              <w:bottom w:val="nil"/>
              <w:right w:val="single" w:sz="4" w:space="0" w:color="auto"/>
            </w:tcBorders>
            <w:shd w:val="clear" w:color="auto" w:fill="auto"/>
          </w:tcPr>
          <w:p w14:paraId="69403F95" w14:textId="77777777" w:rsidR="00E03994" w:rsidRPr="009438CB" w:rsidRDefault="00E03994" w:rsidP="00E03994"/>
        </w:tc>
        <w:tc>
          <w:tcPr>
            <w:tcW w:w="4394" w:type="dxa"/>
            <w:tcBorders>
              <w:left w:val="single" w:sz="4" w:space="0" w:color="auto"/>
            </w:tcBorders>
            <w:shd w:val="clear" w:color="auto" w:fill="F2F2F2" w:themeFill="background1" w:themeFillShade="F2"/>
          </w:tcPr>
          <w:p w14:paraId="60D43827" w14:textId="77777777" w:rsidR="00E03994" w:rsidRPr="004D4C89" w:rsidRDefault="00E03994" w:rsidP="00E03994">
            <w:pPr>
              <w:autoSpaceDE w:val="0"/>
              <w:autoSpaceDN w:val="0"/>
              <w:adjustRightInd w:val="0"/>
              <w:jc w:val="center"/>
              <w:rPr>
                <w:b/>
                <w:sz w:val="24"/>
                <w:szCs w:val="24"/>
              </w:rPr>
            </w:pPr>
            <w:r>
              <w:rPr>
                <w:rFonts w:ascii="SymantecSansMedium" w:hAnsi="SymantecSansMedium" w:cs="SymantecSansMedium"/>
                <w:b/>
                <w:color w:val="173D66"/>
                <w:sz w:val="26"/>
                <w:szCs w:val="26"/>
              </w:rPr>
              <w:t>Achieving Genuine Communication</w:t>
            </w:r>
          </w:p>
        </w:tc>
      </w:tr>
      <w:tr w:rsidR="00E03994" w:rsidRPr="00E74B69" w14:paraId="75BC28A8" w14:textId="77777777" w:rsidTr="00A50BE5">
        <w:tc>
          <w:tcPr>
            <w:tcW w:w="3964" w:type="dxa"/>
            <w:tcBorders>
              <w:right w:val="single" w:sz="4" w:space="0" w:color="auto"/>
            </w:tcBorders>
          </w:tcPr>
          <w:p w14:paraId="37BF4C69" w14:textId="77777777" w:rsidR="00E03994" w:rsidRPr="00E03994"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 xml:space="preserve">Tools for active </w:t>
            </w:r>
            <w:r w:rsidR="00FF6843">
              <w:rPr>
                <w:rFonts w:ascii="SymantecSansMedium" w:hAnsi="SymantecSansMedium" w:cs="SymantecSansMedium"/>
                <w:color w:val="173D66"/>
                <w:sz w:val="24"/>
                <w:szCs w:val="24"/>
              </w:rPr>
              <w:t>L</w:t>
            </w:r>
            <w:r w:rsidRPr="00E03994">
              <w:rPr>
                <w:rFonts w:ascii="SymantecSansMedium" w:hAnsi="SymantecSansMedium" w:cs="SymantecSansMedium"/>
                <w:color w:val="173D66"/>
                <w:sz w:val="24"/>
                <w:szCs w:val="24"/>
              </w:rPr>
              <w:t>istening</w:t>
            </w:r>
          </w:p>
          <w:p w14:paraId="40E32A7E" w14:textId="77777777" w:rsidR="00E03994" w:rsidRPr="004D4C89"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Interpreting non-verbal cues.</w:t>
            </w:r>
          </w:p>
        </w:tc>
        <w:tc>
          <w:tcPr>
            <w:tcW w:w="709" w:type="dxa"/>
            <w:tcBorders>
              <w:top w:val="nil"/>
              <w:left w:val="single" w:sz="4" w:space="0" w:color="auto"/>
              <w:bottom w:val="nil"/>
              <w:right w:val="single" w:sz="4" w:space="0" w:color="auto"/>
            </w:tcBorders>
            <w:shd w:val="clear" w:color="auto" w:fill="auto"/>
          </w:tcPr>
          <w:p w14:paraId="65E1EF26" w14:textId="77777777" w:rsidR="00E03994" w:rsidRPr="00633B0B" w:rsidRDefault="00E03994" w:rsidP="00A50BE5">
            <w:pPr>
              <w:pStyle w:val="ListParagraph"/>
              <w:autoSpaceDE w:val="0"/>
              <w:autoSpaceDN w:val="0"/>
              <w:adjustRightInd w:val="0"/>
              <w:spacing w:line="276" w:lineRule="auto"/>
              <w:ind w:left="205"/>
              <w:jc w:val="both"/>
              <w:rPr>
                <w:rFonts w:ascii="SymantecSansMedium" w:hAnsi="SymantecSansMedium" w:cs="SymantecSansMedium"/>
                <w:color w:val="173D66"/>
                <w:sz w:val="24"/>
                <w:szCs w:val="24"/>
              </w:rPr>
            </w:pPr>
          </w:p>
        </w:tc>
        <w:tc>
          <w:tcPr>
            <w:tcW w:w="4394" w:type="dxa"/>
            <w:tcBorders>
              <w:left w:val="single" w:sz="4" w:space="0" w:color="auto"/>
            </w:tcBorders>
          </w:tcPr>
          <w:p w14:paraId="27A07AAB" w14:textId="77777777" w:rsidR="00E03994" w:rsidRPr="00E03994"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 xml:space="preserve">Creating openness </w:t>
            </w:r>
          </w:p>
          <w:p w14:paraId="528EC13F" w14:textId="77777777" w:rsidR="00E03994" w:rsidRPr="00E03994"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 xml:space="preserve">A three-dimensional model of </w:t>
            </w:r>
            <w:proofErr w:type="spellStart"/>
            <w:r w:rsidRPr="00E03994">
              <w:rPr>
                <w:rFonts w:ascii="SymantecSansMedium" w:hAnsi="SymantecSansMedium" w:cs="SymantecSansMedium"/>
                <w:color w:val="173D66"/>
                <w:sz w:val="24"/>
                <w:szCs w:val="24"/>
              </w:rPr>
              <w:t>behavior</w:t>
            </w:r>
            <w:proofErr w:type="spellEnd"/>
            <w:r w:rsidRPr="00E03994">
              <w:rPr>
                <w:rFonts w:ascii="SymantecSansMedium" w:hAnsi="SymantecSansMedium" w:cs="SymantecSansMedium"/>
                <w:color w:val="173D66"/>
                <w:sz w:val="24"/>
                <w:szCs w:val="24"/>
              </w:rPr>
              <w:t xml:space="preserve"> </w:t>
            </w:r>
          </w:p>
          <w:p w14:paraId="49986088" w14:textId="77777777" w:rsidR="00E03994" w:rsidRPr="00633B0B"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sidRPr="00E03994">
              <w:rPr>
                <w:rFonts w:ascii="SymantecSansMedium" w:hAnsi="SymantecSansMedium" w:cs="SymantecSansMedium"/>
                <w:color w:val="173D66"/>
                <w:sz w:val="24"/>
                <w:szCs w:val="24"/>
              </w:rPr>
              <w:t>Matching your body language to your message</w:t>
            </w:r>
          </w:p>
        </w:tc>
      </w:tr>
    </w:tbl>
    <w:p w14:paraId="4E709A69" w14:textId="77777777" w:rsidR="00E03994" w:rsidRDefault="00E03994" w:rsidP="00D17F52">
      <w:pPr>
        <w:spacing w:line="276" w:lineRule="auto"/>
        <w:jc w:val="both"/>
        <w:rPr>
          <w:sz w:val="24"/>
          <w:szCs w:val="24"/>
        </w:rPr>
      </w:pPr>
    </w:p>
    <w:tbl>
      <w:tblPr>
        <w:tblStyle w:val="TableGrid"/>
        <w:tblW w:w="9067" w:type="dxa"/>
        <w:tblLook w:val="04A0" w:firstRow="1" w:lastRow="0" w:firstColumn="1" w:lastColumn="0" w:noHBand="0" w:noVBand="1"/>
      </w:tblPr>
      <w:tblGrid>
        <w:gridCol w:w="3964"/>
        <w:gridCol w:w="709"/>
        <w:gridCol w:w="4394"/>
      </w:tblGrid>
      <w:tr w:rsidR="00E03994" w:rsidRPr="00E74B69" w14:paraId="27228AC9" w14:textId="77777777" w:rsidTr="00A50BE5">
        <w:tc>
          <w:tcPr>
            <w:tcW w:w="3964" w:type="dxa"/>
            <w:tcBorders>
              <w:right w:val="single" w:sz="4" w:space="0" w:color="auto"/>
            </w:tcBorders>
            <w:shd w:val="clear" w:color="auto" w:fill="F2F2F2" w:themeFill="background1" w:themeFillShade="F2"/>
          </w:tcPr>
          <w:p w14:paraId="50E07ED7" w14:textId="77777777" w:rsidR="00E03994" w:rsidRPr="009438CB" w:rsidRDefault="00E03994" w:rsidP="00A50BE5">
            <w:pPr>
              <w:autoSpaceDE w:val="0"/>
              <w:autoSpaceDN w:val="0"/>
              <w:adjustRightInd w:val="0"/>
              <w:jc w:val="center"/>
              <w:rPr>
                <w:b/>
                <w:sz w:val="24"/>
                <w:szCs w:val="24"/>
              </w:rPr>
            </w:pPr>
            <w:r>
              <w:rPr>
                <w:rFonts w:ascii="SymantecSansMedium" w:hAnsi="SymantecSansMedium" w:cs="SymantecSansMedium"/>
                <w:b/>
                <w:color w:val="173D66"/>
                <w:sz w:val="26"/>
                <w:szCs w:val="26"/>
              </w:rPr>
              <w:t xml:space="preserve">Cross – Cultural Communication </w:t>
            </w:r>
          </w:p>
        </w:tc>
        <w:tc>
          <w:tcPr>
            <w:tcW w:w="709" w:type="dxa"/>
            <w:tcBorders>
              <w:top w:val="nil"/>
              <w:left w:val="single" w:sz="4" w:space="0" w:color="auto"/>
              <w:bottom w:val="nil"/>
              <w:right w:val="single" w:sz="4" w:space="0" w:color="auto"/>
            </w:tcBorders>
            <w:shd w:val="clear" w:color="auto" w:fill="auto"/>
          </w:tcPr>
          <w:p w14:paraId="4F6EEFFF" w14:textId="77777777" w:rsidR="00E03994" w:rsidRPr="009438CB" w:rsidRDefault="00E03994" w:rsidP="00A50BE5"/>
        </w:tc>
        <w:tc>
          <w:tcPr>
            <w:tcW w:w="4394" w:type="dxa"/>
            <w:tcBorders>
              <w:left w:val="single" w:sz="4" w:space="0" w:color="auto"/>
            </w:tcBorders>
            <w:shd w:val="clear" w:color="auto" w:fill="F2F2F2" w:themeFill="background1" w:themeFillShade="F2"/>
          </w:tcPr>
          <w:p w14:paraId="6DF9E712" w14:textId="77777777" w:rsidR="00E03994" w:rsidRPr="004D4C89" w:rsidRDefault="00E03994" w:rsidP="00A50BE5">
            <w:pPr>
              <w:autoSpaceDE w:val="0"/>
              <w:autoSpaceDN w:val="0"/>
              <w:adjustRightInd w:val="0"/>
              <w:jc w:val="center"/>
              <w:rPr>
                <w:b/>
                <w:sz w:val="24"/>
                <w:szCs w:val="24"/>
              </w:rPr>
            </w:pPr>
            <w:r>
              <w:rPr>
                <w:rFonts w:ascii="SymantecSansMedium" w:hAnsi="SymantecSansMedium" w:cs="SymantecSansMedium"/>
                <w:b/>
                <w:color w:val="173D66"/>
                <w:sz w:val="26"/>
                <w:szCs w:val="26"/>
              </w:rPr>
              <w:t>Working constructively with Emotions</w:t>
            </w:r>
          </w:p>
        </w:tc>
      </w:tr>
      <w:tr w:rsidR="00E03994" w:rsidRPr="00E74B69" w14:paraId="6062097E" w14:textId="77777777" w:rsidTr="00A50BE5">
        <w:tc>
          <w:tcPr>
            <w:tcW w:w="3964" w:type="dxa"/>
            <w:tcBorders>
              <w:right w:val="single" w:sz="4" w:space="0" w:color="auto"/>
            </w:tcBorders>
          </w:tcPr>
          <w:p w14:paraId="73331490" w14:textId="77777777" w:rsidR="00E03994" w:rsidRPr="00E03994"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Pr>
                <w:rFonts w:ascii="SymantecSansMedium" w:hAnsi="SymantecSansMedium" w:cs="SymantecSansMedium"/>
                <w:color w:val="173D66"/>
                <w:sz w:val="24"/>
                <w:szCs w:val="24"/>
              </w:rPr>
              <w:t>Navigating beyond cultural boundaries.</w:t>
            </w:r>
          </w:p>
          <w:p w14:paraId="09A8C676" w14:textId="77777777" w:rsidR="00E03994" w:rsidRPr="004D4C89"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Pr>
                <w:rFonts w:ascii="SymantecSansMedium" w:hAnsi="SymantecSansMedium" w:cs="SymantecSansMedium"/>
                <w:color w:val="173D66"/>
                <w:sz w:val="24"/>
                <w:szCs w:val="24"/>
              </w:rPr>
              <w:t>Working with filters and assumptions</w:t>
            </w:r>
            <w:r w:rsidRPr="00E03994">
              <w:rPr>
                <w:rFonts w:ascii="SymantecSansMedium" w:hAnsi="SymantecSansMedium" w:cs="SymantecSansMedium"/>
                <w:color w:val="173D66"/>
                <w:sz w:val="24"/>
                <w:szCs w:val="24"/>
              </w:rPr>
              <w:t>.</w:t>
            </w:r>
          </w:p>
        </w:tc>
        <w:tc>
          <w:tcPr>
            <w:tcW w:w="709" w:type="dxa"/>
            <w:tcBorders>
              <w:top w:val="nil"/>
              <w:left w:val="single" w:sz="4" w:space="0" w:color="auto"/>
              <w:bottom w:val="nil"/>
              <w:right w:val="single" w:sz="4" w:space="0" w:color="auto"/>
            </w:tcBorders>
            <w:shd w:val="clear" w:color="auto" w:fill="auto"/>
          </w:tcPr>
          <w:p w14:paraId="2AD250F2" w14:textId="77777777" w:rsidR="00E03994" w:rsidRPr="00633B0B" w:rsidRDefault="00E03994" w:rsidP="00A50BE5">
            <w:pPr>
              <w:pStyle w:val="ListParagraph"/>
              <w:autoSpaceDE w:val="0"/>
              <w:autoSpaceDN w:val="0"/>
              <w:adjustRightInd w:val="0"/>
              <w:spacing w:line="276" w:lineRule="auto"/>
              <w:ind w:left="205"/>
              <w:jc w:val="both"/>
              <w:rPr>
                <w:rFonts w:ascii="SymantecSansMedium" w:hAnsi="SymantecSansMedium" w:cs="SymantecSansMedium"/>
                <w:color w:val="173D66"/>
                <w:sz w:val="24"/>
                <w:szCs w:val="24"/>
              </w:rPr>
            </w:pPr>
          </w:p>
        </w:tc>
        <w:tc>
          <w:tcPr>
            <w:tcW w:w="4394" w:type="dxa"/>
            <w:tcBorders>
              <w:left w:val="single" w:sz="4" w:space="0" w:color="auto"/>
            </w:tcBorders>
          </w:tcPr>
          <w:p w14:paraId="6178109B" w14:textId="77777777" w:rsidR="00E03994" w:rsidRPr="00E03994"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Pr>
                <w:rFonts w:ascii="SymantecSansMedium" w:hAnsi="SymantecSansMedium" w:cs="SymantecSansMedium"/>
                <w:color w:val="173D66"/>
                <w:sz w:val="24"/>
                <w:szCs w:val="24"/>
              </w:rPr>
              <w:t>Dealing with anger</w:t>
            </w:r>
          </w:p>
          <w:p w14:paraId="5621E918" w14:textId="77777777" w:rsidR="00E03994" w:rsidRPr="00E03994" w:rsidRDefault="00E03994" w:rsidP="00A50BE5">
            <w:pPr>
              <w:pStyle w:val="ListParagraph"/>
              <w:numPr>
                <w:ilvl w:val="0"/>
                <w:numId w:val="4"/>
              </w:numPr>
              <w:autoSpaceDE w:val="0"/>
              <w:autoSpaceDN w:val="0"/>
              <w:adjustRightInd w:val="0"/>
              <w:spacing w:line="276" w:lineRule="auto"/>
              <w:ind w:left="164" w:hanging="164"/>
              <w:jc w:val="both"/>
              <w:rPr>
                <w:rFonts w:ascii="SymantecSansMedium" w:hAnsi="SymantecSansMedium" w:cs="SymantecSansMedium"/>
                <w:color w:val="173D66"/>
                <w:sz w:val="24"/>
                <w:szCs w:val="24"/>
              </w:rPr>
            </w:pPr>
            <w:r>
              <w:rPr>
                <w:rFonts w:ascii="SymantecSansMedium" w:hAnsi="SymantecSansMedium" w:cs="SymantecSansMedium"/>
                <w:color w:val="173D66"/>
                <w:sz w:val="24"/>
                <w:szCs w:val="24"/>
              </w:rPr>
              <w:t xml:space="preserve">Managing emotionally charged situations </w:t>
            </w:r>
          </w:p>
          <w:p w14:paraId="6DF80EF0" w14:textId="77777777" w:rsidR="00E03994" w:rsidRPr="00633B0B" w:rsidRDefault="00E03994" w:rsidP="00E03994">
            <w:pPr>
              <w:pStyle w:val="ListParagraph"/>
              <w:autoSpaceDE w:val="0"/>
              <w:autoSpaceDN w:val="0"/>
              <w:adjustRightInd w:val="0"/>
              <w:spacing w:line="276" w:lineRule="auto"/>
              <w:ind w:left="164"/>
              <w:jc w:val="both"/>
              <w:rPr>
                <w:rFonts w:ascii="SymantecSansMedium" w:hAnsi="SymantecSansMedium" w:cs="SymantecSansMedium"/>
                <w:color w:val="173D66"/>
                <w:sz w:val="24"/>
                <w:szCs w:val="24"/>
              </w:rPr>
            </w:pPr>
          </w:p>
        </w:tc>
      </w:tr>
    </w:tbl>
    <w:p w14:paraId="2C130DCD" w14:textId="77777777" w:rsidR="00D12EC7" w:rsidRDefault="00D12EC7" w:rsidP="00D12EC7">
      <w:pPr>
        <w:autoSpaceDE w:val="0"/>
        <w:autoSpaceDN w:val="0"/>
        <w:adjustRightInd w:val="0"/>
        <w:spacing w:after="0" w:line="240" w:lineRule="auto"/>
        <w:jc w:val="both"/>
        <w:rPr>
          <w:rFonts w:ascii="SymantecSansMedium" w:hAnsi="SymantecSansMedium" w:cs="SymantecSansMedium"/>
          <w:color w:val="173D66"/>
          <w:sz w:val="28"/>
          <w:szCs w:val="28"/>
        </w:rPr>
      </w:pPr>
      <w:r>
        <w:rPr>
          <w:rFonts w:ascii="SymantecSansMedium" w:hAnsi="SymantecSansMedium" w:cs="SymantecSansMedium"/>
          <w:color w:val="173D66"/>
          <w:sz w:val="28"/>
          <w:szCs w:val="28"/>
        </w:rPr>
        <w:t xml:space="preserve">   </w:t>
      </w:r>
    </w:p>
    <w:p w14:paraId="720541F1" w14:textId="77777777" w:rsidR="00633B0B" w:rsidRPr="00633B0B" w:rsidRDefault="00633B0B" w:rsidP="00633B0B">
      <w:pPr>
        <w:autoSpaceDE w:val="0"/>
        <w:autoSpaceDN w:val="0"/>
        <w:adjustRightInd w:val="0"/>
        <w:spacing w:after="0" w:line="240" w:lineRule="auto"/>
        <w:rPr>
          <w:rFonts w:ascii="SymantecSansLight" w:hAnsi="SymantecSansLight" w:cs="SymantecSansLight"/>
          <w:color w:val="F68833"/>
          <w:sz w:val="40"/>
          <w:szCs w:val="40"/>
        </w:rPr>
      </w:pPr>
      <w:r w:rsidRPr="00633B0B">
        <w:rPr>
          <w:rFonts w:ascii="SymantecSansLight" w:hAnsi="SymantecSansLight" w:cs="SymantecSansLight"/>
          <w:color w:val="F68833"/>
          <w:sz w:val="40"/>
          <w:szCs w:val="40"/>
        </w:rPr>
        <w:t>PARTICI</w:t>
      </w:r>
      <w:r>
        <w:rPr>
          <w:rFonts w:ascii="SymantecSansLight" w:hAnsi="SymantecSansLight" w:cs="SymantecSansLight"/>
          <w:color w:val="F68833"/>
          <w:sz w:val="40"/>
          <w:szCs w:val="40"/>
        </w:rPr>
        <w:t>PA</w:t>
      </w:r>
      <w:r w:rsidRPr="00633B0B">
        <w:rPr>
          <w:rFonts w:ascii="SymantecSansLight" w:hAnsi="SymantecSansLight" w:cs="SymantecSansLight"/>
          <w:color w:val="F68833"/>
          <w:sz w:val="40"/>
          <w:szCs w:val="40"/>
        </w:rPr>
        <w:t xml:space="preserve">NT PROFILE </w:t>
      </w:r>
    </w:p>
    <w:p w14:paraId="69CDEAAF" w14:textId="1F0710BD" w:rsidR="000253BB" w:rsidRPr="00A0275E" w:rsidRDefault="00E03994" w:rsidP="004D7D7D">
      <w:pPr>
        <w:pStyle w:val="ListParagraph"/>
        <w:numPr>
          <w:ilvl w:val="0"/>
          <w:numId w:val="1"/>
        </w:numPr>
        <w:autoSpaceDE w:val="0"/>
        <w:autoSpaceDN w:val="0"/>
        <w:adjustRightInd w:val="0"/>
        <w:spacing w:after="0" w:line="360" w:lineRule="auto"/>
        <w:jc w:val="both"/>
        <w:rPr>
          <w:rFonts w:ascii="SymantecSansLight" w:hAnsi="SymantecSansLight" w:cs="SymantecSansLight"/>
          <w:color w:val="F68833"/>
          <w:sz w:val="40"/>
          <w:szCs w:val="40"/>
        </w:rPr>
      </w:pPr>
      <w:r w:rsidRPr="004D7D7D">
        <w:rPr>
          <w:rFonts w:ascii="SymantecSansMedium" w:hAnsi="SymantecSansMedium" w:cs="SymantecSansMedium"/>
          <w:color w:val="173D66"/>
          <w:sz w:val="26"/>
          <w:szCs w:val="26"/>
        </w:rPr>
        <w:t xml:space="preserve">Professionals, at all levels looking to improve their impact and performance </w:t>
      </w:r>
      <w:r w:rsidR="001954E9" w:rsidRPr="004D7D7D">
        <w:rPr>
          <w:rFonts w:ascii="SymantecSansMedium" w:hAnsi="SymantecSansMedium" w:cs="SymantecSansMedium"/>
          <w:color w:val="173D66"/>
          <w:sz w:val="26"/>
          <w:szCs w:val="26"/>
        </w:rPr>
        <w:t>through effective communication.</w:t>
      </w:r>
      <w:r w:rsidR="001954E9" w:rsidRPr="00A0275E">
        <w:rPr>
          <w:rFonts w:ascii="SymantecSansMedium" w:hAnsi="SymantecSansMedium" w:cs="SymantecSansMedium"/>
          <w:color w:val="173D66"/>
          <w:sz w:val="28"/>
          <w:szCs w:val="28"/>
        </w:rPr>
        <w:t xml:space="preserve">  </w:t>
      </w:r>
      <w:r w:rsidR="00D17F52" w:rsidRPr="00A0275E">
        <w:rPr>
          <w:rFonts w:ascii="SymantecSansMedium" w:hAnsi="SymantecSansMedium" w:cs="SymantecSansMedium"/>
          <w:color w:val="173D66"/>
          <w:sz w:val="28"/>
          <w:szCs w:val="28"/>
        </w:rPr>
        <w:t xml:space="preserve"> </w:t>
      </w:r>
    </w:p>
    <w:p w14:paraId="56EE3D34" w14:textId="77777777" w:rsidR="00A0275E" w:rsidRDefault="00A0275E" w:rsidP="00A0275E">
      <w:pPr>
        <w:rPr>
          <w:rFonts w:ascii="SymantecSansLight" w:hAnsi="SymantecSansLight" w:cs="SymantecSansLight"/>
          <w:color w:val="F68833"/>
          <w:sz w:val="40"/>
          <w:szCs w:val="40"/>
        </w:rPr>
      </w:pPr>
    </w:p>
    <w:p w14:paraId="35B9E9AB" w14:textId="42767EE0" w:rsidR="00A0275E" w:rsidRPr="00A0275E" w:rsidRDefault="00A0275E" w:rsidP="00A0275E">
      <w:pPr>
        <w:rPr>
          <w:rFonts w:ascii="SymantecSansLight" w:hAnsi="SymantecSansLight" w:cs="SymantecSansLight"/>
          <w:color w:val="F68833"/>
          <w:sz w:val="40"/>
          <w:szCs w:val="40"/>
        </w:rPr>
      </w:pPr>
      <w:r w:rsidRPr="00A0275E">
        <w:rPr>
          <w:rFonts w:ascii="SymantecSansLight" w:hAnsi="SymantecSansLight" w:cs="SymantecSansLight"/>
          <w:color w:val="F68833"/>
          <w:sz w:val="40"/>
          <w:szCs w:val="40"/>
        </w:rPr>
        <w:t xml:space="preserve">DURATION </w:t>
      </w:r>
      <w:r w:rsidRPr="00A0275E">
        <w:rPr>
          <w:rFonts w:ascii="SymantecSansMedium" w:hAnsi="SymantecSansMedium" w:cs="SymantecSansMedium"/>
          <w:color w:val="173D66"/>
          <w:sz w:val="28"/>
          <w:szCs w:val="28"/>
        </w:rPr>
        <w:t>-</w:t>
      </w:r>
      <w:r w:rsidRPr="00A0275E">
        <w:rPr>
          <w:rFonts w:ascii="SymantecSansLight" w:hAnsi="SymantecSansLight" w:cs="SymantecSansLight"/>
          <w:color w:val="F68833"/>
          <w:sz w:val="40"/>
          <w:szCs w:val="40"/>
        </w:rPr>
        <w:t xml:space="preserve"> </w:t>
      </w:r>
      <w:r w:rsidRPr="00A0275E">
        <w:rPr>
          <w:rFonts w:ascii="SymantecSansMedium" w:hAnsi="SymantecSansMedium" w:cs="SymantecSansMedium"/>
          <w:color w:val="173D66"/>
          <w:sz w:val="28"/>
          <w:szCs w:val="28"/>
        </w:rPr>
        <w:t>2 Weeks</w:t>
      </w:r>
      <w:r w:rsidRPr="00A0275E">
        <w:rPr>
          <w:rFonts w:ascii="SymantecSansLight" w:hAnsi="SymantecSansLight" w:cs="SymantecSansLight"/>
          <w:color w:val="F68833"/>
          <w:sz w:val="40"/>
          <w:szCs w:val="40"/>
        </w:rPr>
        <w:t xml:space="preserve"> </w:t>
      </w:r>
    </w:p>
    <w:p w14:paraId="6D19DB01" w14:textId="77777777" w:rsidR="00A0275E" w:rsidRPr="00A0275E" w:rsidRDefault="00A0275E" w:rsidP="00A0275E">
      <w:pPr>
        <w:pStyle w:val="ListParagraph"/>
        <w:autoSpaceDE w:val="0"/>
        <w:autoSpaceDN w:val="0"/>
        <w:adjustRightInd w:val="0"/>
        <w:spacing w:after="0" w:line="240" w:lineRule="auto"/>
        <w:jc w:val="both"/>
        <w:rPr>
          <w:rFonts w:ascii="SymantecSansLight" w:hAnsi="SymantecSansLight" w:cs="SymantecSansLight"/>
          <w:color w:val="F68833"/>
          <w:sz w:val="40"/>
          <w:szCs w:val="40"/>
        </w:rPr>
      </w:pPr>
    </w:p>
    <w:sectPr w:rsidR="00A0275E" w:rsidRPr="00A0275E" w:rsidSect="0085467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antecSansMedium">
    <w:altName w:val="Calibri"/>
    <w:panose1 w:val="00000000000000000000"/>
    <w:charset w:val="00"/>
    <w:family w:val="auto"/>
    <w:notTrueType/>
    <w:pitch w:val="default"/>
    <w:sig w:usb0="00000003" w:usb1="00000000" w:usb2="00000000" w:usb3="00000000" w:csb0="00000001" w:csb1="00000000"/>
  </w:font>
  <w:font w:name="SymantecSan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3ABC"/>
    <w:multiLevelType w:val="hybridMultilevel"/>
    <w:tmpl w:val="D814F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90F3DBE"/>
    <w:multiLevelType w:val="hybridMultilevel"/>
    <w:tmpl w:val="09F2C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C64086D"/>
    <w:multiLevelType w:val="hybridMultilevel"/>
    <w:tmpl w:val="D99CB884"/>
    <w:lvl w:ilvl="0" w:tplc="1E0E7B78">
      <w:start w:val="1"/>
      <w:numFmt w:val="bullet"/>
      <w:lvlText w:val=""/>
      <w:lvlJc w:val="left"/>
      <w:pPr>
        <w:ind w:left="720" w:hanging="360"/>
      </w:pPr>
      <w:rPr>
        <w:rFonts w:ascii="Symbol" w:hAnsi="Symbol" w:hint="default"/>
        <w:color w:val="1F4E79" w:themeColor="accent5" w:themeShade="80"/>
        <w:sz w:val="28"/>
        <w:szCs w:val="3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2081181"/>
    <w:multiLevelType w:val="hybridMultilevel"/>
    <w:tmpl w:val="61F68B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6C235C1D"/>
    <w:multiLevelType w:val="hybridMultilevel"/>
    <w:tmpl w:val="B55C2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0855D54"/>
    <w:multiLevelType w:val="hybridMultilevel"/>
    <w:tmpl w:val="EB604A48"/>
    <w:lvl w:ilvl="0" w:tplc="FEC456E6">
      <w:start w:val="1"/>
      <w:numFmt w:val="bullet"/>
      <w:lvlText w:val=""/>
      <w:lvlJc w:val="left"/>
      <w:pPr>
        <w:ind w:left="720" w:hanging="360"/>
      </w:pPr>
      <w:rPr>
        <w:rFonts w:ascii="Symbol" w:hAnsi="Symbol" w:hint="default"/>
        <w:color w:val="1F4E79" w:themeColor="accent5" w:themeShade="80"/>
        <w:sz w:val="32"/>
        <w:szCs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C7"/>
    <w:rsid w:val="000253BB"/>
    <w:rsid w:val="00084A61"/>
    <w:rsid w:val="000C5572"/>
    <w:rsid w:val="00120EBB"/>
    <w:rsid w:val="001954E9"/>
    <w:rsid w:val="003A22B5"/>
    <w:rsid w:val="004C44AD"/>
    <w:rsid w:val="004D4C89"/>
    <w:rsid w:val="004D7D7D"/>
    <w:rsid w:val="00633B0B"/>
    <w:rsid w:val="007A10DF"/>
    <w:rsid w:val="00854672"/>
    <w:rsid w:val="009438CB"/>
    <w:rsid w:val="00A0275E"/>
    <w:rsid w:val="00BC10CC"/>
    <w:rsid w:val="00D12EC7"/>
    <w:rsid w:val="00D17F52"/>
    <w:rsid w:val="00D4360F"/>
    <w:rsid w:val="00E03994"/>
    <w:rsid w:val="00FF68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55FF"/>
  <w15:chartTrackingRefBased/>
  <w15:docId w15:val="{1DFFA6D8-FC9F-496C-AED6-30EE786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C7"/>
    <w:pPr>
      <w:ind w:left="720"/>
      <w:contextualSpacing/>
    </w:pPr>
  </w:style>
  <w:style w:type="table" w:styleId="TableGrid">
    <w:name w:val="Table Grid"/>
    <w:basedOn w:val="TableNormal"/>
    <w:uiPriority w:val="59"/>
    <w:rsid w:val="00D1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B0B"/>
    <w:rPr>
      <w:color w:val="0563C1" w:themeColor="hyperlink"/>
      <w:u w:val="single"/>
    </w:rPr>
  </w:style>
  <w:style w:type="character" w:styleId="UnresolvedMention">
    <w:name w:val="Unresolved Mention"/>
    <w:basedOn w:val="DefaultParagraphFont"/>
    <w:uiPriority w:val="99"/>
    <w:semiHidden/>
    <w:unhideWhenUsed/>
    <w:rsid w:val="00854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 Sharma</dc:creator>
  <cp:keywords/>
  <dc:description/>
  <cp:lastModifiedBy>Gaurav Asthana</cp:lastModifiedBy>
  <cp:revision>6</cp:revision>
  <dcterms:created xsi:type="dcterms:W3CDTF">2019-12-23T06:17:00Z</dcterms:created>
  <dcterms:modified xsi:type="dcterms:W3CDTF">2022-02-22T06:13:00Z</dcterms:modified>
</cp:coreProperties>
</file>