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D3421" w14:textId="77777777" w:rsidR="00A94E92" w:rsidRPr="00DC0071" w:rsidRDefault="00A94E92" w:rsidP="00A94E92">
      <w:pPr>
        <w:spacing w:after="0" w:line="240" w:lineRule="auto"/>
        <w:jc w:val="center"/>
        <w:rPr>
          <w:b/>
          <w:bCs/>
          <w:sz w:val="24"/>
          <w:szCs w:val="24"/>
        </w:rPr>
      </w:pPr>
      <w:r w:rsidRPr="00DC0071">
        <w:rPr>
          <w:b/>
          <w:bCs/>
          <w:sz w:val="24"/>
          <w:szCs w:val="24"/>
        </w:rPr>
        <w:t>India International Institute of Democracy and Election Management</w:t>
      </w:r>
    </w:p>
    <w:p w14:paraId="01B5972E" w14:textId="77777777" w:rsidR="00A94E92" w:rsidRPr="00DC0071" w:rsidRDefault="00A94E92" w:rsidP="00A94E92">
      <w:pPr>
        <w:spacing w:after="0" w:line="240" w:lineRule="auto"/>
        <w:jc w:val="center"/>
        <w:rPr>
          <w:b/>
          <w:bCs/>
          <w:sz w:val="24"/>
          <w:szCs w:val="24"/>
        </w:rPr>
      </w:pPr>
      <w:r w:rsidRPr="00DC0071">
        <w:rPr>
          <w:b/>
          <w:bCs/>
          <w:sz w:val="24"/>
          <w:szCs w:val="24"/>
        </w:rPr>
        <w:t>Election Commission of India</w:t>
      </w:r>
    </w:p>
    <w:p w14:paraId="2E75743D" w14:textId="77777777" w:rsidR="00A94E92" w:rsidRPr="00DC0071" w:rsidRDefault="00A94E92" w:rsidP="00A94E92">
      <w:pPr>
        <w:spacing w:after="0" w:line="240" w:lineRule="auto"/>
        <w:jc w:val="center"/>
        <w:rPr>
          <w:b/>
          <w:bCs/>
          <w:sz w:val="24"/>
          <w:szCs w:val="24"/>
        </w:rPr>
      </w:pPr>
      <w:r w:rsidRPr="00DC0071">
        <w:rPr>
          <w:b/>
          <w:bCs/>
          <w:sz w:val="24"/>
          <w:szCs w:val="24"/>
        </w:rPr>
        <w:t xml:space="preserve">Course Title: Capacity Development for </w:t>
      </w:r>
      <w:r>
        <w:rPr>
          <w:b/>
          <w:bCs/>
          <w:sz w:val="24"/>
          <w:szCs w:val="24"/>
        </w:rPr>
        <w:t>Voter Registration</w:t>
      </w:r>
    </w:p>
    <w:p w14:paraId="6AF9084C" w14:textId="77777777" w:rsidR="00A94E92" w:rsidRDefault="00A94E92" w:rsidP="00A94E92">
      <w:pPr>
        <w:spacing w:after="0" w:line="240" w:lineRule="auto"/>
        <w:jc w:val="both"/>
      </w:pPr>
    </w:p>
    <w:p w14:paraId="6EC04F08" w14:textId="77777777" w:rsidR="00A94E92" w:rsidRDefault="00A94E92" w:rsidP="00A94E92">
      <w:pPr>
        <w:spacing w:after="0" w:line="240" w:lineRule="auto"/>
        <w:jc w:val="both"/>
      </w:pPr>
      <w:r w:rsidRPr="00DC0071">
        <w:rPr>
          <w:b/>
          <w:bCs/>
        </w:rPr>
        <w:t>Objective:</w:t>
      </w:r>
      <w:r>
        <w:t xml:space="preserve"> To build capacity of participants on voter registration so as to equip them for creating accurate and inclusive Voter register. </w:t>
      </w:r>
    </w:p>
    <w:p w14:paraId="62A4D6D2" w14:textId="77777777" w:rsidR="00A94E92" w:rsidRDefault="00A94E92" w:rsidP="00A94E92">
      <w:pPr>
        <w:spacing w:after="0" w:line="240" w:lineRule="auto"/>
        <w:jc w:val="both"/>
      </w:pPr>
    </w:p>
    <w:tbl>
      <w:tblPr>
        <w:tblStyle w:val="TableGrid"/>
        <w:tblW w:w="0" w:type="auto"/>
        <w:tblLook w:val="04A0" w:firstRow="1" w:lastRow="0" w:firstColumn="1" w:lastColumn="0" w:noHBand="0" w:noVBand="1"/>
      </w:tblPr>
      <w:tblGrid>
        <w:gridCol w:w="2122"/>
        <w:gridCol w:w="5244"/>
        <w:gridCol w:w="1650"/>
      </w:tblGrid>
      <w:tr w:rsidR="00A94E92" w14:paraId="2E2A207C" w14:textId="77777777" w:rsidTr="00142103">
        <w:tc>
          <w:tcPr>
            <w:tcW w:w="2122" w:type="dxa"/>
          </w:tcPr>
          <w:p w14:paraId="68D22C4D" w14:textId="77777777" w:rsidR="00A94E92" w:rsidRDefault="00A94E92" w:rsidP="00142103">
            <w:pPr>
              <w:jc w:val="both"/>
            </w:pPr>
            <w:r>
              <w:t>Name of the Course</w:t>
            </w:r>
          </w:p>
        </w:tc>
        <w:tc>
          <w:tcPr>
            <w:tcW w:w="5244" w:type="dxa"/>
          </w:tcPr>
          <w:p w14:paraId="61FA6308" w14:textId="77777777" w:rsidR="00A94E92" w:rsidRDefault="00A94E92" w:rsidP="00142103">
            <w:pPr>
              <w:jc w:val="both"/>
            </w:pPr>
            <w:r>
              <w:t>Topics</w:t>
            </w:r>
          </w:p>
        </w:tc>
        <w:tc>
          <w:tcPr>
            <w:tcW w:w="1650" w:type="dxa"/>
          </w:tcPr>
          <w:p w14:paraId="5DB61AAC" w14:textId="77777777" w:rsidR="00A94E92" w:rsidRDefault="00A94E92" w:rsidP="00142103">
            <w:pPr>
              <w:jc w:val="both"/>
            </w:pPr>
            <w:r>
              <w:t>Duration</w:t>
            </w:r>
          </w:p>
        </w:tc>
      </w:tr>
      <w:tr w:rsidR="00A94E92" w14:paraId="0C2E58FE" w14:textId="77777777" w:rsidTr="00142103">
        <w:tc>
          <w:tcPr>
            <w:tcW w:w="2122" w:type="dxa"/>
          </w:tcPr>
          <w:p w14:paraId="212D1362" w14:textId="77777777" w:rsidR="00A94E92" w:rsidRDefault="00A94E92" w:rsidP="00142103">
            <w:pPr>
              <w:jc w:val="both"/>
            </w:pPr>
            <w:r>
              <w:t>Capacity Building for Voter Registration</w:t>
            </w:r>
          </w:p>
        </w:tc>
        <w:tc>
          <w:tcPr>
            <w:tcW w:w="5244" w:type="dxa"/>
          </w:tcPr>
          <w:p w14:paraId="594D6460" w14:textId="77777777" w:rsidR="00A94E92" w:rsidRDefault="00A94E92" w:rsidP="00142103">
            <w:pPr>
              <w:jc w:val="both"/>
            </w:pPr>
            <w:r>
              <w:t>1. The importance of voter registration</w:t>
            </w:r>
          </w:p>
          <w:p w14:paraId="0910A58C" w14:textId="77777777" w:rsidR="00A94E92" w:rsidRDefault="00A94E92" w:rsidP="00142103">
            <w:pPr>
              <w:jc w:val="both"/>
            </w:pPr>
            <w:r>
              <w:t>2. Guiding principles for voter registration</w:t>
            </w:r>
          </w:p>
          <w:p w14:paraId="5EABAA33" w14:textId="77777777" w:rsidR="00A94E92" w:rsidRDefault="00A94E92" w:rsidP="00142103">
            <w:pPr>
              <w:jc w:val="both"/>
            </w:pPr>
            <w:r>
              <w:t>3. Voter registers</w:t>
            </w:r>
          </w:p>
          <w:p w14:paraId="7AAD4529" w14:textId="77777777" w:rsidR="00A94E92" w:rsidRDefault="00A94E92" w:rsidP="00142103">
            <w:pPr>
              <w:jc w:val="both"/>
            </w:pPr>
            <w:r>
              <w:t>4. Major operational steps</w:t>
            </w:r>
          </w:p>
          <w:p w14:paraId="64431F8B" w14:textId="77777777" w:rsidR="00A94E92" w:rsidRDefault="00A94E92" w:rsidP="00142103">
            <w:pPr>
              <w:jc w:val="both"/>
            </w:pPr>
            <w:r>
              <w:t>5. Registration data</w:t>
            </w:r>
          </w:p>
          <w:p w14:paraId="7E1DF5D4" w14:textId="77777777" w:rsidR="00A94E92" w:rsidRDefault="00A94E92" w:rsidP="00142103">
            <w:pPr>
              <w:jc w:val="both"/>
            </w:pPr>
            <w:r>
              <w:t>6. Voter registration process in India</w:t>
            </w:r>
          </w:p>
        </w:tc>
        <w:tc>
          <w:tcPr>
            <w:tcW w:w="1650" w:type="dxa"/>
          </w:tcPr>
          <w:p w14:paraId="5E6CBA27" w14:textId="72E53A5D" w:rsidR="00A94E92" w:rsidRDefault="00FF06F7" w:rsidP="00142103">
            <w:r>
              <w:t>5</w:t>
            </w:r>
            <w:bookmarkStart w:id="0" w:name="_GoBack"/>
            <w:bookmarkEnd w:id="0"/>
            <w:r w:rsidR="00A94E92">
              <w:t xml:space="preserve"> days including field study trip(s)</w:t>
            </w:r>
          </w:p>
        </w:tc>
      </w:tr>
    </w:tbl>
    <w:p w14:paraId="6918AE2F" w14:textId="77777777" w:rsidR="00A94E92" w:rsidRDefault="00A94E92" w:rsidP="00A94E92">
      <w:pPr>
        <w:spacing w:after="0" w:line="240" w:lineRule="auto"/>
        <w:jc w:val="both"/>
      </w:pPr>
    </w:p>
    <w:p w14:paraId="72DF3DD4" w14:textId="77777777" w:rsidR="00A94E92" w:rsidRDefault="00A94E92" w:rsidP="00A94E92">
      <w:pPr>
        <w:spacing w:after="0" w:line="240" w:lineRule="auto"/>
        <w:jc w:val="both"/>
        <w:rPr>
          <w:b/>
          <w:bCs/>
          <w:u w:val="single"/>
        </w:rPr>
      </w:pPr>
      <w:r w:rsidRPr="00DC0071">
        <w:rPr>
          <w:b/>
          <w:bCs/>
          <w:u w:val="single"/>
        </w:rPr>
        <w:t>Topics and Sub-themes:</w:t>
      </w:r>
    </w:p>
    <w:p w14:paraId="7953D869" w14:textId="77777777" w:rsidR="00A94E92" w:rsidRDefault="00A94E92" w:rsidP="00A94E92">
      <w:pPr>
        <w:pStyle w:val="ListParagraph"/>
        <w:numPr>
          <w:ilvl w:val="0"/>
          <w:numId w:val="1"/>
        </w:numPr>
        <w:spacing w:after="0" w:line="240" w:lineRule="auto"/>
        <w:jc w:val="both"/>
      </w:pPr>
      <w:r>
        <w:t xml:space="preserve">Importance of Voluntary Registration, Mandatory Registration or No Registration </w:t>
      </w:r>
    </w:p>
    <w:p w14:paraId="20A231A7" w14:textId="77777777" w:rsidR="00A94E92" w:rsidRDefault="00A94E92" w:rsidP="00A94E92">
      <w:pPr>
        <w:pStyle w:val="ListParagraph"/>
        <w:numPr>
          <w:ilvl w:val="0"/>
          <w:numId w:val="1"/>
        </w:numPr>
        <w:spacing w:after="0" w:line="240" w:lineRule="auto"/>
        <w:jc w:val="both"/>
      </w:pPr>
      <w:r>
        <w:t>Guiding principles – Principles of voter registration, International standards and why and when registration occurs. Appropriate criteria used determine eligibility to be registered. Indian practices to determine age and ordinary residence; special voters, NRI voters, service voters and proxy voters.</w:t>
      </w:r>
    </w:p>
    <w:p w14:paraId="095790BD" w14:textId="77777777" w:rsidR="00A94E92" w:rsidRDefault="00A94E92" w:rsidP="00A94E92">
      <w:pPr>
        <w:pStyle w:val="ListParagraph"/>
        <w:numPr>
          <w:ilvl w:val="0"/>
          <w:numId w:val="1"/>
        </w:numPr>
        <w:spacing w:after="0" w:line="240" w:lineRule="auto"/>
        <w:jc w:val="both"/>
      </w:pPr>
      <w:r>
        <w:t>Voter Registers – Periodic, civil and continuous registry. Elements of a good register. Experience sharing by participants.</w:t>
      </w:r>
    </w:p>
    <w:p w14:paraId="7F58578E" w14:textId="77777777" w:rsidR="00A94E92" w:rsidRDefault="00A94E92" w:rsidP="00A94E92">
      <w:pPr>
        <w:pStyle w:val="ListParagraph"/>
        <w:numPr>
          <w:ilvl w:val="0"/>
          <w:numId w:val="1"/>
        </w:numPr>
        <w:spacing w:after="0" w:line="240" w:lineRule="auto"/>
        <w:jc w:val="both"/>
      </w:pPr>
      <w:r>
        <w:t>Major Operational steps – Needs assessment, operational plan, timeline and phasing of voter registration events, procurement, hire and train staff, create budget and assess costs, finalise the operational plan, voter education, opening and managing registration centres nationally, printing and display of provisional voter register. Opening appeals centres on provisional voter register, printing and display of final voter register.</w:t>
      </w:r>
    </w:p>
    <w:p w14:paraId="7B23EBED" w14:textId="77777777" w:rsidR="00A94E92" w:rsidRDefault="00A94E92" w:rsidP="00A94E92">
      <w:pPr>
        <w:pStyle w:val="ListParagraph"/>
        <w:numPr>
          <w:ilvl w:val="0"/>
          <w:numId w:val="1"/>
        </w:numPr>
        <w:spacing w:after="0" w:line="240" w:lineRule="auto"/>
        <w:jc w:val="both"/>
      </w:pPr>
      <w:r>
        <w:t>Voter Data – Methods used for collecting and maintaining the massive amounts of data that are contained within a voter register.</w:t>
      </w:r>
    </w:p>
    <w:p w14:paraId="2C1EE15A" w14:textId="77777777" w:rsidR="00A94E92" w:rsidRDefault="00A94E92" w:rsidP="00A94E92">
      <w:pPr>
        <w:pStyle w:val="ListParagraph"/>
        <w:numPr>
          <w:ilvl w:val="0"/>
          <w:numId w:val="1"/>
        </w:numPr>
        <w:spacing w:after="0" w:line="240" w:lineRule="auto"/>
        <w:jc w:val="both"/>
      </w:pPr>
      <w:r>
        <w:t>Voter Registration Technologies for Voter Registration – Biometric systems, Electoral roll management systems.</w:t>
      </w:r>
    </w:p>
    <w:p w14:paraId="37B81615" w14:textId="77777777" w:rsidR="00A94E92" w:rsidRDefault="00A94E92" w:rsidP="00A94E92">
      <w:pPr>
        <w:pStyle w:val="ListParagraph"/>
        <w:numPr>
          <w:ilvl w:val="0"/>
          <w:numId w:val="1"/>
        </w:numPr>
        <w:spacing w:after="0" w:line="240" w:lineRule="auto"/>
        <w:jc w:val="both"/>
      </w:pPr>
      <w:r>
        <w:t>Using technology to improve fidelity of voter lists – De-duplication and statistical tools to improve the health of Electoral Roll.</w:t>
      </w:r>
    </w:p>
    <w:p w14:paraId="2C33FC0C" w14:textId="77777777" w:rsidR="00A94E92" w:rsidRDefault="00A94E92" w:rsidP="00A94E92">
      <w:pPr>
        <w:pStyle w:val="ListParagraph"/>
        <w:numPr>
          <w:ilvl w:val="0"/>
          <w:numId w:val="1"/>
        </w:numPr>
        <w:spacing w:after="0" w:line="240" w:lineRule="auto"/>
        <w:jc w:val="both"/>
      </w:pPr>
      <w:r>
        <w:t>Geographic Information System (GIS) – Use of GIS in demarcating constituencies and polling areas station areas, GPS mapping of polling station locations, mapping vulnerable areas etc.</w:t>
      </w:r>
    </w:p>
    <w:p w14:paraId="615918B9" w14:textId="77777777" w:rsidR="00A94E92" w:rsidRDefault="00A94E92" w:rsidP="00A94E92">
      <w:pPr>
        <w:pStyle w:val="ListParagraph"/>
        <w:numPr>
          <w:ilvl w:val="0"/>
          <w:numId w:val="1"/>
        </w:numPr>
        <w:spacing w:after="0" w:line="240" w:lineRule="auto"/>
        <w:jc w:val="both"/>
      </w:pPr>
      <w:r>
        <w:t>Online Registration – Practices world over and case studies on the Indian experience</w:t>
      </w:r>
    </w:p>
    <w:p w14:paraId="32164C2C" w14:textId="77777777" w:rsidR="00A94E92" w:rsidRDefault="00A94E92" w:rsidP="00A94E92">
      <w:pPr>
        <w:pStyle w:val="ListParagraph"/>
        <w:numPr>
          <w:ilvl w:val="0"/>
          <w:numId w:val="1"/>
        </w:numPr>
        <w:spacing w:after="0" w:line="240" w:lineRule="auto"/>
        <w:jc w:val="both"/>
      </w:pPr>
      <w:r>
        <w:t>Innovations in the ECI – Voter list observers, Booth Level Officers, Booth Level Assistance</w:t>
      </w:r>
    </w:p>
    <w:p w14:paraId="1C74FB18" w14:textId="77777777" w:rsidR="00A94E92" w:rsidRPr="00DC0071" w:rsidRDefault="00A94E92" w:rsidP="00A94E92">
      <w:pPr>
        <w:spacing w:after="0" w:line="240" w:lineRule="auto"/>
        <w:jc w:val="both"/>
        <w:rPr>
          <w:b/>
          <w:bCs/>
          <w:u w:val="single"/>
        </w:rPr>
      </w:pPr>
    </w:p>
    <w:p w14:paraId="4ED189A8" w14:textId="77777777" w:rsidR="00A94E92" w:rsidRPr="00DC0071" w:rsidRDefault="00A94E92" w:rsidP="00A94E92">
      <w:pPr>
        <w:pStyle w:val="ListParagraph"/>
        <w:spacing w:after="0" w:line="240" w:lineRule="auto"/>
        <w:jc w:val="both"/>
        <w:rPr>
          <w:b/>
          <w:bCs/>
          <w:u w:val="single"/>
        </w:rPr>
      </w:pPr>
      <w:r w:rsidRPr="00DC0071">
        <w:rPr>
          <w:b/>
          <w:bCs/>
          <w:u w:val="single"/>
        </w:rPr>
        <w:t>Important Information:</w:t>
      </w:r>
    </w:p>
    <w:p w14:paraId="579AC5E0" w14:textId="77777777" w:rsidR="00A94E92" w:rsidRPr="00DC0071" w:rsidRDefault="00A94E92" w:rsidP="00A94E92">
      <w:pPr>
        <w:pStyle w:val="ListParagraph"/>
        <w:spacing w:after="0" w:line="240" w:lineRule="auto"/>
        <w:jc w:val="both"/>
        <w:rPr>
          <w:b/>
          <w:bCs/>
        </w:rPr>
      </w:pPr>
    </w:p>
    <w:p w14:paraId="386808B8" w14:textId="77777777" w:rsidR="00A94E92" w:rsidRDefault="00A94E92" w:rsidP="00A94E92">
      <w:pPr>
        <w:pStyle w:val="ListParagraph"/>
        <w:numPr>
          <w:ilvl w:val="0"/>
          <w:numId w:val="1"/>
        </w:numPr>
        <w:spacing w:after="0" w:line="240" w:lineRule="auto"/>
        <w:jc w:val="both"/>
      </w:pPr>
      <w:r>
        <w:t>The course is for Senior and middle level election officials with good working knowledge of English</w:t>
      </w:r>
    </w:p>
    <w:p w14:paraId="6A003A11" w14:textId="008639E7" w:rsidR="007B0543" w:rsidRDefault="00A94E92" w:rsidP="00A94E92">
      <w:pPr>
        <w:pStyle w:val="ListParagraph"/>
        <w:numPr>
          <w:ilvl w:val="0"/>
          <w:numId w:val="1"/>
        </w:numPr>
        <w:spacing w:after="0" w:line="240" w:lineRule="auto"/>
        <w:jc w:val="both"/>
      </w:pPr>
      <w:r>
        <w:t>Nominees should either be working or be expected to work in voter registration section of their EMBs.</w:t>
      </w:r>
    </w:p>
    <w:sectPr w:rsidR="007B0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511E6"/>
    <w:multiLevelType w:val="hybridMultilevel"/>
    <w:tmpl w:val="E4F65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92"/>
    <w:rsid w:val="007B0543"/>
    <w:rsid w:val="00A94E92"/>
    <w:rsid w:val="00E35B9B"/>
    <w:rsid w:val="00FA2467"/>
    <w:rsid w:val="00FF06F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287B"/>
  <w15:chartTrackingRefBased/>
  <w15:docId w15:val="{B07C8643-8E27-4E43-A97D-18AA60A8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2019-12-26T09:28:00Z</dcterms:created>
  <dcterms:modified xsi:type="dcterms:W3CDTF">2019-12-26T09:32:00Z</dcterms:modified>
</cp:coreProperties>
</file>