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2C" w:rsidRDefault="008B7C2C" w:rsidP="008B7C2C">
      <w:pPr>
        <w:jc w:val="center"/>
        <w:rPr>
          <w:b/>
          <w:bCs/>
          <w:szCs w:val="28"/>
          <w:u w:val="single"/>
        </w:rPr>
      </w:pPr>
      <w:r w:rsidRPr="007C439C">
        <w:rPr>
          <w:b/>
          <w:bCs/>
          <w:szCs w:val="28"/>
          <w:u w:val="single"/>
        </w:rPr>
        <w:t>Individual Course Details</w:t>
      </w:r>
    </w:p>
    <w:p w:rsidR="008B7C2C" w:rsidRPr="007C439C" w:rsidRDefault="008B7C2C" w:rsidP="008B7C2C">
      <w:pPr>
        <w:jc w:val="center"/>
        <w:rPr>
          <w:b/>
          <w:bCs/>
          <w:szCs w:val="28"/>
          <w:u w:val="single"/>
        </w:rPr>
      </w:pPr>
    </w:p>
    <w:p w:rsidR="008B7C2C" w:rsidRPr="002D6D0A" w:rsidRDefault="008B7C2C" w:rsidP="008B7C2C">
      <w:pPr>
        <w:spacing w:after="200" w:line="276" w:lineRule="auto"/>
        <w:jc w:val="center"/>
        <w:rPr>
          <w:rFonts w:eastAsia="Calibri"/>
          <w:b/>
          <w:sz w:val="26"/>
          <w:szCs w:val="26"/>
          <w:u w:val="single"/>
        </w:rPr>
      </w:pPr>
      <w:r w:rsidRPr="002D6D0A">
        <w:rPr>
          <w:b/>
          <w:sz w:val="26"/>
          <w:szCs w:val="26"/>
          <w:u w:val="single"/>
        </w:rPr>
        <w:t>SME Financing - Approaches and Strategies (S</w:t>
      </w:r>
      <w:r>
        <w:rPr>
          <w:b/>
          <w:sz w:val="26"/>
          <w:szCs w:val="26"/>
          <w:u w:val="single"/>
        </w:rPr>
        <w:t>ME</w:t>
      </w:r>
      <w:r w:rsidRPr="002D6D0A">
        <w:rPr>
          <w:b/>
          <w:sz w:val="26"/>
          <w:szCs w:val="26"/>
          <w:u w:val="single"/>
        </w:rPr>
        <w:t>FAS)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628"/>
      </w:tblGrid>
      <w:tr w:rsidR="008B7C2C" w:rsidTr="008B7C2C">
        <w:tc>
          <w:tcPr>
            <w:tcW w:w="4296" w:type="dxa"/>
          </w:tcPr>
          <w:p w:rsidR="008B7C2C" w:rsidRPr="00896D40" w:rsidRDefault="008B7C2C" w:rsidP="004D1DE5">
            <w:pPr>
              <w:spacing w:before="120" w:after="120"/>
            </w:pPr>
            <w:r w:rsidRPr="00896D40">
              <w:t>A.  Name of the Institute</w:t>
            </w:r>
          </w:p>
        </w:tc>
        <w:tc>
          <w:tcPr>
            <w:tcW w:w="5628" w:type="dxa"/>
          </w:tcPr>
          <w:p w:rsidR="008B7C2C" w:rsidRDefault="008B7C2C" w:rsidP="004D1DE5">
            <w:pPr>
              <w:jc w:val="both"/>
              <w:rPr>
                <w:bCs/>
                <w:szCs w:val="28"/>
              </w:rPr>
            </w:pPr>
            <w:r>
              <w:rPr>
                <w:bCs/>
                <w:szCs w:val="28"/>
              </w:rPr>
              <w:t>National Institute for Micro, Small and Medium Enterprises (</w:t>
            </w:r>
            <w:proofErr w:type="spellStart"/>
            <w:r>
              <w:rPr>
                <w:b/>
                <w:szCs w:val="28"/>
              </w:rPr>
              <w:t>ni-msme</w:t>
            </w:r>
            <w:proofErr w:type="spellEnd"/>
            <w:r>
              <w:rPr>
                <w:bCs/>
                <w:szCs w:val="28"/>
              </w:rPr>
              <w:t xml:space="preserve">) </w:t>
            </w:r>
          </w:p>
          <w:p w:rsidR="008B7C2C" w:rsidRPr="008B7C2C" w:rsidRDefault="008B7C2C" w:rsidP="004D1DE5">
            <w:pPr>
              <w:jc w:val="both"/>
              <w:rPr>
                <w:color w:val="000000"/>
                <w:szCs w:val="16"/>
              </w:rPr>
            </w:pPr>
            <w:r w:rsidRPr="005A2838">
              <w:rPr>
                <w:color w:val="000000"/>
                <w:szCs w:val="16"/>
              </w:rPr>
              <w:t xml:space="preserve">(An </w:t>
            </w:r>
            <w:proofErr w:type="spellStart"/>
            <w:r w:rsidRPr="005A2838">
              <w:rPr>
                <w:color w:val="000000"/>
                <w:szCs w:val="16"/>
              </w:rPr>
              <w:t>Organisation</w:t>
            </w:r>
            <w:proofErr w:type="spellEnd"/>
            <w:r w:rsidRPr="005A2838">
              <w:rPr>
                <w:color w:val="000000"/>
                <w:szCs w:val="16"/>
              </w:rPr>
              <w:t xml:space="preserve"> of Ministry of MSME, </w:t>
            </w:r>
            <w:proofErr w:type="spellStart"/>
            <w:r w:rsidRPr="005A2838">
              <w:rPr>
                <w:color w:val="000000"/>
                <w:szCs w:val="16"/>
              </w:rPr>
              <w:t>GoI</w:t>
            </w:r>
            <w:proofErr w:type="spellEnd"/>
            <w:r w:rsidRPr="005A2838">
              <w:rPr>
                <w:color w:val="000000"/>
                <w:szCs w:val="16"/>
              </w:rPr>
              <w:t xml:space="preserve"> and ISO 9001-20</w:t>
            </w:r>
            <w:r>
              <w:rPr>
                <w:color w:val="000000"/>
                <w:szCs w:val="16"/>
              </w:rPr>
              <w:t>15</w:t>
            </w:r>
            <w:r w:rsidRPr="005A2838">
              <w:rPr>
                <w:color w:val="000000"/>
                <w:szCs w:val="16"/>
              </w:rPr>
              <w:t xml:space="preserve"> Certified)</w:t>
            </w:r>
          </w:p>
        </w:tc>
      </w:tr>
      <w:tr w:rsidR="008B7C2C" w:rsidTr="008B7C2C">
        <w:tc>
          <w:tcPr>
            <w:tcW w:w="4296" w:type="dxa"/>
          </w:tcPr>
          <w:p w:rsidR="008B7C2C" w:rsidRPr="00896D40" w:rsidRDefault="008B7C2C" w:rsidP="004D1DE5">
            <w:pPr>
              <w:spacing w:before="120" w:after="120"/>
            </w:pPr>
            <w:r w:rsidRPr="00896D40">
              <w:t>B.  Name/title of the Course</w:t>
            </w:r>
          </w:p>
        </w:tc>
        <w:tc>
          <w:tcPr>
            <w:tcW w:w="5628" w:type="dxa"/>
          </w:tcPr>
          <w:p w:rsidR="008B7C2C" w:rsidRPr="007C67F3" w:rsidRDefault="008B7C2C" w:rsidP="004D1DE5">
            <w:pPr>
              <w:spacing w:after="200" w:line="276" w:lineRule="auto"/>
              <w:rPr>
                <w:rFonts w:eastAsia="Calibri"/>
                <w:sz w:val="26"/>
                <w:szCs w:val="26"/>
              </w:rPr>
            </w:pPr>
            <w:r w:rsidRPr="007C67F3">
              <w:rPr>
                <w:sz w:val="26"/>
                <w:szCs w:val="26"/>
              </w:rPr>
              <w:t xml:space="preserve">SME Financing - </w:t>
            </w:r>
            <w:r>
              <w:rPr>
                <w:sz w:val="26"/>
                <w:szCs w:val="26"/>
              </w:rPr>
              <w:t>Approaches and Strategies (SMEF</w:t>
            </w:r>
            <w:r w:rsidRPr="007C67F3">
              <w:rPr>
                <w:sz w:val="26"/>
                <w:szCs w:val="26"/>
              </w:rPr>
              <w:t>AS)</w:t>
            </w:r>
          </w:p>
        </w:tc>
      </w:tr>
      <w:tr w:rsidR="008B7C2C" w:rsidTr="008B7C2C">
        <w:trPr>
          <w:trHeight w:val="557"/>
        </w:trPr>
        <w:tc>
          <w:tcPr>
            <w:tcW w:w="4296" w:type="dxa"/>
          </w:tcPr>
          <w:p w:rsidR="008B7C2C" w:rsidRPr="00896D40" w:rsidRDefault="008B7C2C" w:rsidP="004D1DE5">
            <w:pPr>
              <w:spacing w:before="120" w:after="120"/>
              <w:ind w:left="360" w:hanging="360"/>
            </w:pPr>
            <w:r w:rsidRPr="00896D40">
              <w:t>C.  Proposed Dates and Duration of the Course in weeks</w:t>
            </w:r>
            <w:r>
              <w:t>/</w:t>
            </w:r>
            <w:r w:rsidRPr="00896D40">
              <w:t>months</w:t>
            </w:r>
          </w:p>
        </w:tc>
        <w:tc>
          <w:tcPr>
            <w:tcW w:w="5628" w:type="dxa"/>
          </w:tcPr>
          <w:p w:rsidR="008B7C2C" w:rsidRPr="004E7B64" w:rsidRDefault="008B7C2C" w:rsidP="004D1DE5">
            <w:pPr>
              <w:jc w:val="both"/>
            </w:pPr>
            <w:r>
              <w:t xml:space="preserve"> 09 May </w:t>
            </w:r>
            <w:r w:rsidRPr="004E7B64">
              <w:t>202</w:t>
            </w:r>
            <w:r>
              <w:t>2</w:t>
            </w:r>
            <w:r w:rsidRPr="004E7B64">
              <w:t xml:space="preserve"> to 1</w:t>
            </w:r>
            <w:r>
              <w:t>7</w:t>
            </w:r>
            <w:r w:rsidRPr="004E7B64">
              <w:t xml:space="preserve"> </w:t>
            </w:r>
            <w:r>
              <w:t>Ju</w:t>
            </w:r>
            <w:r>
              <w:t>ne</w:t>
            </w:r>
            <w:r w:rsidRPr="004E7B64">
              <w:t xml:space="preserve"> 202</w:t>
            </w:r>
            <w:r>
              <w:t>2</w:t>
            </w:r>
            <w:bookmarkStart w:id="0" w:name="_GoBack"/>
            <w:bookmarkEnd w:id="0"/>
          </w:p>
          <w:p w:rsidR="008B7C2C" w:rsidRPr="004E7B64" w:rsidRDefault="008B7C2C" w:rsidP="004D1DE5">
            <w:pPr>
              <w:jc w:val="both"/>
            </w:pPr>
            <w:r>
              <w:t xml:space="preserve"> 6 Weeks</w:t>
            </w:r>
          </w:p>
          <w:p w:rsidR="008B7C2C" w:rsidRDefault="008B7C2C" w:rsidP="004D1DE5">
            <w:pPr>
              <w:jc w:val="both"/>
            </w:pPr>
          </w:p>
        </w:tc>
      </w:tr>
      <w:tr w:rsidR="008B7C2C" w:rsidTr="008B7C2C">
        <w:tc>
          <w:tcPr>
            <w:tcW w:w="4296" w:type="dxa"/>
          </w:tcPr>
          <w:p w:rsidR="008B7C2C" w:rsidRPr="00896D40" w:rsidRDefault="008B7C2C" w:rsidP="004D1DE5">
            <w:pPr>
              <w:spacing w:before="120" w:after="120"/>
            </w:pPr>
            <w:r w:rsidRPr="00896D40">
              <w:t>D.  Eligibility Criteria for Participants</w:t>
            </w:r>
          </w:p>
          <w:p w:rsidR="008B7C2C" w:rsidRPr="00896D40" w:rsidRDefault="008B7C2C" w:rsidP="004D1DE5">
            <w:pPr>
              <w:spacing w:before="120" w:after="120"/>
            </w:pPr>
            <w:r w:rsidRPr="00896D40">
              <w:t xml:space="preserve">     1. Educational Qualification</w:t>
            </w:r>
          </w:p>
          <w:p w:rsidR="008B7C2C" w:rsidRPr="00896D40" w:rsidRDefault="008B7C2C" w:rsidP="004D1DE5">
            <w:pPr>
              <w:spacing w:before="120" w:after="120"/>
            </w:pPr>
            <w:r w:rsidRPr="00896D40">
              <w:t xml:space="preserve">     2. Work Experience</w:t>
            </w:r>
          </w:p>
          <w:p w:rsidR="008B7C2C" w:rsidRPr="00896D40" w:rsidRDefault="008B7C2C" w:rsidP="004D1DE5">
            <w:pPr>
              <w:spacing w:before="120" w:after="120"/>
            </w:pPr>
            <w:r w:rsidRPr="00896D40">
              <w:t xml:space="preserve">     3. Age Limit</w:t>
            </w:r>
          </w:p>
        </w:tc>
        <w:tc>
          <w:tcPr>
            <w:tcW w:w="5628" w:type="dxa"/>
          </w:tcPr>
          <w:p w:rsidR="008B7C2C" w:rsidRDefault="008B7C2C" w:rsidP="004D1DE5">
            <w:pPr>
              <w:jc w:val="both"/>
            </w:pPr>
          </w:p>
          <w:p w:rsidR="008B7C2C" w:rsidRDefault="008B7C2C" w:rsidP="004D1DE5">
            <w:pPr>
              <w:pStyle w:val="ListParagraph"/>
              <w:numPr>
                <w:ilvl w:val="0"/>
                <w:numId w:val="3"/>
              </w:numPr>
              <w:spacing w:after="200" w:line="276" w:lineRule="auto"/>
              <w:jc w:val="both"/>
              <w:rPr>
                <w:color w:val="000000"/>
              </w:rPr>
            </w:pPr>
            <w:r>
              <w:rPr>
                <w:color w:val="000000"/>
              </w:rPr>
              <w:t xml:space="preserve">Graduation with 3 </w:t>
            </w:r>
            <w:proofErr w:type="spellStart"/>
            <w:r>
              <w:rPr>
                <w:color w:val="000000"/>
              </w:rPr>
              <w:t>yrs</w:t>
            </w:r>
            <w:proofErr w:type="spellEnd"/>
            <w:r>
              <w:rPr>
                <w:color w:val="000000"/>
              </w:rPr>
              <w:t xml:space="preserve"> experience </w:t>
            </w:r>
          </w:p>
          <w:p w:rsidR="008B7C2C" w:rsidRDefault="008B7C2C" w:rsidP="004D1DE5">
            <w:pPr>
              <w:pStyle w:val="ListParagraph"/>
              <w:rPr>
                <w:rFonts w:eastAsia="Calibri"/>
                <w:color w:val="000000"/>
                <w:lang w:bidi="en-US"/>
              </w:rPr>
            </w:pPr>
            <w:r>
              <w:rPr>
                <w:color w:val="000000"/>
              </w:rPr>
              <w:t>Or</w:t>
            </w:r>
          </w:p>
          <w:p w:rsidR="008B7C2C" w:rsidRDefault="008B7C2C" w:rsidP="004D1DE5">
            <w:pPr>
              <w:pStyle w:val="ListParagraph"/>
              <w:numPr>
                <w:ilvl w:val="0"/>
                <w:numId w:val="3"/>
              </w:numPr>
              <w:spacing w:after="200" w:line="276" w:lineRule="auto"/>
              <w:jc w:val="both"/>
              <w:rPr>
                <w:color w:val="000000"/>
              </w:rPr>
            </w:pPr>
            <w:r>
              <w:rPr>
                <w:color w:val="000000"/>
              </w:rPr>
              <w:t xml:space="preserve">Diploma with 5 </w:t>
            </w:r>
            <w:proofErr w:type="spellStart"/>
            <w:r>
              <w:rPr>
                <w:color w:val="000000"/>
              </w:rPr>
              <w:t>yrs</w:t>
            </w:r>
            <w:proofErr w:type="spellEnd"/>
            <w:r>
              <w:rPr>
                <w:color w:val="000000"/>
              </w:rPr>
              <w:t xml:space="preserve"> experience</w:t>
            </w:r>
          </w:p>
          <w:p w:rsidR="008B7C2C" w:rsidRDefault="008B7C2C" w:rsidP="004D1DE5">
            <w:pPr>
              <w:pStyle w:val="ListParagraph"/>
              <w:rPr>
                <w:rFonts w:eastAsia="Calibri"/>
                <w:color w:val="000000"/>
                <w:lang w:bidi="en-US"/>
              </w:rPr>
            </w:pPr>
            <w:r>
              <w:rPr>
                <w:color w:val="000000"/>
              </w:rPr>
              <w:t>Or</w:t>
            </w:r>
          </w:p>
          <w:p w:rsidR="008B7C2C" w:rsidRDefault="008B7C2C" w:rsidP="004D1DE5">
            <w:pPr>
              <w:pStyle w:val="ListParagraph"/>
              <w:numPr>
                <w:ilvl w:val="0"/>
                <w:numId w:val="3"/>
              </w:numPr>
              <w:spacing w:after="200" w:line="276" w:lineRule="auto"/>
              <w:rPr>
                <w:color w:val="000000"/>
              </w:rPr>
            </w:pPr>
            <w:r>
              <w:rPr>
                <w:color w:val="000000"/>
              </w:rPr>
              <w:t xml:space="preserve">Certificate with 7 </w:t>
            </w:r>
            <w:proofErr w:type="spellStart"/>
            <w:r>
              <w:rPr>
                <w:color w:val="000000"/>
              </w:rPr>
              <w:t>yrs</w:t>
            </w:r>
            <w:proofErr w:type="spellEnd"/>
            <w:r>
              <w:rPr>
                <w:color w:val="000000"/>
              </w:rPr>
              <w:t xml:space="preserve"> experience</w:t>
            </w:r>
          </w:p>
          <w:p w:rsidR="008B7C2C" w:rsidRDefault="008B7C2C" w:rsidP="004D1DE5">
            <w:pPr>
              <w:pStyle w:val="ListParagraph"/>
              <w:rPr>
                <w:rFonts w:eastAsia="Calibri"/>
                <w:color w:val="000000"/>
                <w:lang w:bidi="en-US"/>
              </w:rPr>
            </w:pPr>
            <w:r>
              <w:rPr>
                <w:color w:val="000000"/>
              </w:rPr>
              <w:t>Or</w:t>
            </w:r>
          </w:p>
          <w:p w:rsidR="008B7C2C" w:rsidRDefault="008B7C2C" w:rsidP="004D1DE5">
            <w:pPr>
              <w:jc w:val="both"/>
            </w:pPr>
            <w:r>
              <w:rPr>
                <w:color w:val="000000"/>
              </w:rPr>
              <w:t xml:space="preserve">Age Group 25-50 Years </w:t>
            </w:r>
            <w:r>
              <w:t xml:space="preserve"> </w:t>
            </w:r>
          </w:p>
          <w:p w:rsidR="008B7C2C" w:rsidRDefault="008B7C2C" w:rsidP="004D1DE5">
            <w:pPr>
              <w:pStyle w:val="ListParagraph"/>
              <w:jc w:val="both"/>
            </w:pPr>
          </w:p>
        </w:tc>
      </w:tr>
      <w:tr w:rsidR="008B7C2C" w:rsidTr="008B7C2C">
        <w:tc>
          <w:tcPr>
            <w:tcW w:w="4296" w:type="dxa"/>
          </w:tcPr>
          <w:p w:rsidR="008B7C2C" w:rsidRPr="00896D40" w:rsidRDefault="008B7C2C" w:rsidP="004D1DE5">
            <w:pPr>
              <w:spacing w:before="120" w:after="120"/>
            </w:pPr>
            <w:r>
              <w:t>E. Target Group</w:t>
            </w:r>
          </w:p>
        </w:tc>
        <w:tc>
          <w:tcPr>
            <w:tcW w:w="5628" w:type="dxa"/>
          </w:tcPr>
          <w:p w:rsidR="008B7C2C" w:rsidRDefault="008B7C2C" w:rsidP="004D1DE5">
            <w:pPr>
              <w:jc w:val="both"/>
            </w:pPr>
            <w:r w:rsidRPr="005D105A">
              <w:t>Executives/field officers of financial institutions, banks, government departments engaged in the promotion and development of SMEs</w:t>
            </w:r>
            <w:r>
              <w:t>.</w:t>
            </w:r>
          </w:p>
          <w:p w:rsidR="008B7C2C" w:rsidRPr="005D105A" w:rsidRDefault="008B7C2C" w:rsidP="004D1DE5">
            <w:pPr>
              <w:jc w:val="both"/>
            </w:pPr>
          </w:p>
        </w:tc>
      </w:tr>
      <w:tr w:rsidR="008B7C2C" w:rsidTr="008B7C2C">
        <w:tc>
          <w:tcPr>
            <w:tcW w:w="4296" w:type="dxa"/>
          </w:tcPr>
          <w:p w:rsidR="008B7C2C" w:rsidRPr="00896D40" w:rsidRDefault="008B7C2C" w:rsidP="004D1DE5">
            <w:pPr>
              <w:spacing w:before="120" w:after="120"/>
            </w:pPr>
            <w:r>
              <w:t>F</w:t>
            </w:r>
            <w:r w:rsidRPr="00896D40">
              <w:t xml:space="preserve">.   Aims </w:t>
            </w:r>
            <w:r>
              <w:t>&amp;</w:t>
            </w:r>
            <w:r w:rsidRPr="00896D40">
              <w:t xml:space="preserve"> Objectives of the Course</w:t>
            </w:r>
          </w:p>
        </w:tc>
        <w:tc>
          <w:tcPr>
            <w:tcW w:w="5628" w:type="dxa"/>
          </w:tcPr>
          <w:p w:rsidR="008B7C2C" w:rsidRDefault="008B7C2C" w:rsidP="004D1DE5">
            <w:pPr>
              <w:jc w:val="both"/>
              <w:rPr>
                <w:b/>
                <w:u w:val="single"/>
              </w:rPr>
            </w:pPr>
            <w:r w:rsidRPr="00156037">
              <w:rPr>
                <w:b/>
                <w:u w:val="single"/>
              </w:rPr>
              <w:t>A</w:t>
            </w:r>
            <w:r>
              <w:rPr>
                <w:b/>
                <w:u w:val="single"/>
              </w:rPr>
              <w:t>IM</w:t>
            </w:r>
          </w:p>
          <w:p w:rsidR="008B7C2C" w:rsidRDefault="008B7C2C" w:rsidP="004D1DE5">
            <w:pPr>
              <w:spacing w:after="160"/>
              <w:jc w:val="both"/>
              <w:rPr>
                <w:rFonts w:eastAsiaTheme="minorEastAsia"/>
              </w:rPr>
            </w:pPr>
            <w:r w:rsidRPr="00235808">
              <w:rPr>
                <w:rFonts w:eastAsiaTheme="minorEastAsia"/>
              </w:rPr>
              <w:t xml:space="preserve">Small and Medium Enterprises play a key role in the economic growth of any country. SMEs utilize local resources and therefore need promotion, financing, development, etc., of this segment. Such an effort did encourage SMEs to grow significantly to the extent of self-sufficiency and contribute to exports. This pre-supposes provision of timely and adequate financial assistance to ensure their startup, sustenance and growth. </w:t>
            </w:r>
          </w:p>
          <w:p w:rsidR="008B7C2C" w:rsidRPr="00235808" w:rsidRDefault="008B7C2C" w:rsidP="004D1DE5">
            <w:pPr>
              <w:spacing w:after="160"/>
              <w:jc w:val="both"/>
              <w:rPr>
                <w:rFonts w:eastAsiaTheme="minorEastAsia"/>
              </w:rPr>
            </w:pPr>
            <w:r w:rsidRPr="00235808">
              <w:rPr>
                <w:rFonts w:eastAsiaTheme="minorEastAsia"/>
              </w:rPr>
              <w:t xml:space="preserve">The financial sector has to be suitably integrated with the process of industrialization by periodically reviewing and bringing in reforms, This enables to cope with changes, credit policy and operational procedures in the sanction/conduct of the financing activities of banks and financial, affording identification of enterprise opportunities, promotion of entrepreneurship and ensuring free flow of credit to aspiring </w:t>
            </w:r>
            <w:r w:rsidRPr="00235808">
              <w:rPr>
                <w:rFonts w:eastAsiaTheme="minorEastAsia"/>
              </w:rPr>
              <w:lastRenderedPageBreak/>
              <w:t xml:space="preserve">entrepreneurs. </w:t>
            </w:r>
          </w:p>
          <w:p w:rsidR="008B7C2C" w:rsidRDefault="008B7C2C" w:rsidP="004D1DE5">
            <w:pPr>
              <w:shd w:val="clear" w:color="auto" w:fill="FFFFFF"/>
              <w:spacing w:line="274" w:lineRule="exact"/>
              <w:ind w:left="5"/>
              <w:jc w:val="both"/>
              <w:rPr>
                <w:b/>
                <w:u w:val="single"/>
              </w:rPr>
            </w:pPr>
            <w:r>
              <w:rPr>
                <w:b/>
                <w:bCs/>
                <w:u w:val="single"/>
              </w:rPr>
              <w:t xml:space="preserve">OBJECTIVES:  </w:t>
            </w:r>
          </w:p>
          <w:p w:rsidR="008B7C2C" w:rsidRPr="005D105A" w:rsidRDefault="008B7C2C" w:rsidP="004D1DE5">
            <w:pPr>
              <w:pStyle w:val="NormalWeb"/>
              <w:numPr>
                <w:ilvl w:val="0"/>
                <w:numId w:val="2"/>
              </w:numPr>
              <w:shd w:val="clear" w:color="auto" w:fill="FFFFFF"/>
              <w:spacing w:before="0" w:beforeAutospacing="0" w:after="80" w:afterAutospacing="0" w:line="360" w:lineRule="auto"/>
              <w:jc w:val="both"/>
            </w:pPr>
            <w:r>
              <w:t>To f</w:t>
            </w:r>
            <w:r w:rsidRPr="005D105A">
              <w:t xml:space="preserve">ormulate methodologies for </w:t>
            </w:r>
            <w:r>
              <w:t xml:space="preserve">the </w:t>
            </w:r>
            <w:r w:rsidRPr="005D105A">
              <w:t>vitalization of the financial sector in conformity with development plans.</w:t>
            </w:r>
          </w:p>
          <w:p w:rsidR="008B7C2C" w:rsidRPr="005D105A" w:rsidRDefault="008B7C2C" w:rsidP="004D1DE5">
            <w:pPr>
              <w:pStyle w:val="NormalWeb"/>
              <w:numPr>
                <w:ilvl w:val="0"/>
                <w:numId w:val="2"/>
              </w:numPr>
              <w:shd w:val="clear" w:color="auto" w:fill="FFFFFF"/>
              <w:spacing w:before="0" w:beforeAutospacing="0" w:after="80" w:afterAutospacing="0" w:line="360" w:lineRule="auto"/>
              <w:jc w:val="both"/>
            </w:pPr>
            <w:r>
              <w:t>To u</w:t>
            </w:r>
            <w:r w:rsidRPr="005D105A">
              <w:t>nderstand the concepts of Development Banking.</w:t>
            </w:r>
          </w:p>
          <w:p w:rsidR="008B7C2C" w:rsidRPr="005D105A" w:rsidRDefault="008B7C2C" w:rsidP="004D1DE5">
            <w:pPr>
              <w:pStyle w:val="NormalWeb"/>
              <w:numPr>
                <w:ilvl w:val="0"/>
                <w:numId w:val="2"/>
              </w:numPr>
              <w:shd w:val="clear" w:color="auto" w:fill="FFFFFF"/>
              <w:spacing w:before="0" w:beforeAutospacing="0" w:after="80" w:afterAutospacing="0" w:line="360" w:lineRule="auto"/>
              <w:jc w:val="both"/>
            </w:pPr>
            <w:r>
              <w:t>To i</w:t>
            </w:r>
            <w:r w:rsidRPr="005D105A">
              <w:t xml:space="preserve">mprove operational skills to assess credit requirements of borrowers, scrutinize and appraise loan proposals, and </w:t>
            </w:r>
          </w:p>
          <w:p w:rsidR="008B7C2C" w:rsidRDefault="008B7C2C" w:rsidP="004D1DE5">
            <w:pPr>
              <w:pStyle w:val="NormalWeb"/>
              <w:numPr>
                <w:ilvl w:val="0"/>
                <w:numId w:val="2"/>
              </w:numPr>
              <w:shd w:val="clear" w:color="auto" w:fill="FFFFFF"/>
              <w:spacing w:before="0" w:beforeAutospacing="0" w:after="80" w:afterAutospacing="0" w:line="360" w:lineRule="auto"/>
              <w:jc w:val="both"/>
            </w:pPr>
            <w:r>
              <w:t>To d</w:t>
            </w:r>
            <w:r w:rsidRPr="005D105A">
              <w:t>evelop suitable systems of supervision and follow-up to ensure proper utilization of funds by the borrowers and prompt recovery.</w:t>
            </w:r>
          </w:p>
          <w:p w:rsidR="008B7C2C" w:rsidRPr="006D3D3E" w:rsidRDefault="008B7C2C" w:rsidP="004D1DE5">
            <w:pPr>
              <w:pStyle w:val="NormalWeb"/>
              <w:shd w:val="clear" w:color="auto" w:fill="FFFFFF"/>
              <w:spacing w:before="0" w:beforeAutospacing="0" w:after="80" w:afterAutospacing="0" w:line="360" w:lineRule="auto"/>
              <w:jc w:val="both"/>
              <w:rPr>
                <w:b/>
              </w:rPr>
            </w:pPr>
            <w:r w:rsidRPr="006D3D3E">
              <w:rPr>
                <w:b/>
              </w:rPr>
              <w:t>OUTCOMES:</w:t>
            </w:r>
          </w:p>
          <w:p w:rsidR="008B7C2C" w:rsidRDefault="008B7C2C" w:rsidP="004D1DE5">
            <w:pPr>
              <w:rPr>
                <w:bCs/>
              </w:rPr>
            </w:pPr>
            <w:r w:rsidRPr="00EA4AD9">
              <w:rPr>
                <w:bCs/>
              </w:rPr>
              <w:t xml:space="preserve">The Participant will be able </w:t>
            </w:r>
            <w:r>
              <w:rPr>
                <w:bCs/>
              </w:rPr>
              <w:t xml:space="preserve">to </w:t>
            </w:r>
            <w:r w:rsidRPr="00EA4AD9">
              <w:rPr>
                <w:bCs/>
              </w:rPr>
              <w:t>understand</w:t>
            </w:r>
          </w:p>
          <w:p w:rsidR="008B7C2C" w:rsidRDefault="008B7C2C" w:rsidP="004D1DE5">
            <w:pPr>
              <w:rPr>
                <w:bCs/>
              </w:rPr>
            </w:pP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 xml:space="preserve">Formulate development banking </w:t>
            </w:r>
            <w:r>
              <w:t>methodologies</w:t>
            </w: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Suggest impro</w:t>
            </w:r>
            <w:r>
              <w:t>vements in the financial sector</w:t>
            </w: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Formulate strategies for marketing financial services</w:t>
            </w: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Scrutinize loan applications thoroughly and prepare comprehensive appraisal reports</w:t>
            </w: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Supervision of credits to ensure proper end-use of funds</w:t>
            </w:r>
          </w:p>
          <w:p w:rsidR="008B7C2C" w:rsidRPr="005D105A" w:rsidRDefault="008B7C2C" w:rsidP="004D1DE5">
            <w:pPr>
              <w:pStyle w:val="NormalWeb"/>
              <w:numPr>
                <w:ilvl w:val="0"/>
                <w:numId w:val="1"/>
              </w:numPr>
              <w:shd w:val="clear" w:color="auto" w:fill="FFFFFF"/>
              <w:spacing w:before="0" w:beforeAutospacing="0" w:after="80" w:afterAutospacing="0"/>
              <w:jc w:val="both"/>
            </w:pPr>
            <w:r w:rsidRPr="005D105A">
              <w:t>Recovery and prevention of sticky advances</w:t>
            </w:r>
          </w:p>
          <w:p w:rsidR="008B7C2C" w:rsidRDefault="008B7C2C" w:rsidP="004D1DE5">
            <w:pPr>
              <w:pStyle w:val="NormalWeb"/>
              <w:numPr>
                <w:ilvl w:val="0"/>
                <w:numId w:val="1"/>
              </w:numPr>
              <w:shd w:val="clear" w:color="auto" w:fill="FFFFFF"/>
              <w:spacing w:before="0" w:beforeAutospacing="0" w:after="80" w:afterAutospacing="0"/>
              <w:jc w:val="both"/>
            </w:pPr>
            <w:r w:rsidRPr="005D105A">
              <w:t>Diagnose sick enterprise</w:t>
            </w:r>
            <w:r>
              <w:t>s</w:t>
            </w:r>
            <w:r w:rsidRPr="005D105A">
              <w:t xml:space="preserve"> and formulate viability norms for rejuvenation of such enterprises </w:t>
            </w:r>
          </w:p>
        </w:tc>
      </w:tr>
      <w:tr w:rsidR="008B7C2C" w:rsidTr="008B7C2C">
        <w:tc>
          <w:tcPr>
            <w:tcW w:w="4296" w:type="dxa"/>
          </w:tcPr>
          <w:p w:rsidR="008B7C2C" w:rsidRDefault="008B7C2C" w:rsidP="004D1DE5">
            <w:pPr>
              <w:spacing w:before="120" w:after="120"/>
              <w:ind w:left="360" w:hanging="360"/>
            </w:pPr>
          </w:p>
          <w:p w:rsidR="008B7C2C" w:rsidRPr="00896D40" w:rsidRDefault="008B7C2C" w:rsidP="004D1DE5">
            <w:pPr>
              <w:spacing w:before="120" w:after="120"/>
              <w:ind w:left="360" w:hanging="360"/>
            </w:pPr>
            <w:r>
              <w:t>G</w:t>
            </w:r>
            <w:r w:rsidRPr="00896D40">
              <w:t>.   Details of Content of the Course</w:t>
            </w:r>
            <w:r>
              <w:t xml:space="preserve">   </w:t>
            </w:r>
          </w:p>
        </w:tc>
        <w:tc>
          <w:tcPr>
            <w:tcW w:w="5628" w:type="dxa"/>
          </w:tcPr>
          <w:p w:rsidR="008B7C2C" w:rsidRDefault="008B7C2C" w:rsidP="004D1DE5">
            <w:pPr>
              <w:rPr>
                <w:b/>
                <w:u w:val="single"/>
              </w:rPr>
            </w:pPr>
            <w:r w:rsidRPr="004C6BD0">
              <w:rPr>
                <w:b/>
                <w:u w:val="single"/>
              </w:rPr>
              <w:t>CONTENTS</w:t>
            </w:r>
          </w:p>
          <w:p w:rsidR="008B7C2C" w:rsidRDefault="008B7C2C" w:rsidP="004D1DE5">
            <w:pPr>
              <w:jc w:val="both"/>
            </w:pPr>
          </w:p>
          <w:p w:rsidR="008B7C2C" w:rsidRPr="005D105A" w:rsidRDefault="008B7C2C" w:rsidP="004D1DE5">
            <w:pPr>
              <w:tabs>
                <w:tab w:val="left" w:pos="720"/>
                <w:tab w:val="left" w:pos="1440"/>
                <w:tab w:val="left" w:pos="1867"/>
              </w:tabs>
              <w:spacing w:line="360" w:lineRule="auto"/>
            </w:pPr>
            <w:r w:rsidRPr="00D64ECC">
              <w:t xml:space="preserve"> </w:t>
            </w:r>
            <w:r>
              <w:t xml:space="preserve">       </w:t>
            </w:r>
            <w:r w:rsidRPr="005D105A">
              <w:t>Module 1: Introduce to Financial Sector</w:t>
            </w:r>
          </w:p>
          <w:p w:rsidR="008B7C2C" w:rsidRPr="005D105A" w:rsidRDefault="008B7C2C" w:rsidP="004D1DE5">
            <w:pPr>
              <w:tabs>
                <w:tab w:val="left" w:pos="720"/>
                <w:tab w:val="left" w:pos="1440"/>
                <w:tab w:val="left" w:pos="1867"/>
              </w:tabs>
              <w:spacing w:line="360" w:lineRule="auto"/>
            </w:pPr>
            <w:r w:rsidRPr="005D105A">
              <w:t xml:space="preserve">         Module 2: Developing Banking</w:t>
            </w:r>
          </w:p>
          <w:p w:rsidR="008B7C2C" w:rsidRPr="005D105A" w:rsidRDefault="008B7C2C" w:rsidP="004D1DE5">
            <w:pPr>
              <w:tabs>
                <w:tab w:val="left" w:pos="720"/>
                <w:tab w:val="left" w:pos="1440"/>
                <w:tab w:val="left" w:pos="1867"/>
              </w:tabs>
              <w:spacing w:line="360" w:lineRule="auto"/>
            </w:pPr>
            <w:r w:rsidRPr="005D105A">
              <w:t xml:space="preserve">         Module 3: Schemes of Financing</w:t>
            </w:r>
            <w:r w:rsidRPr="005D105A">
              <w:tab/>
            </w:r>
          </w:p>
          <w:p w:rsidR="008B7C2C" w:rsidRPr="005D105A" w:rsidRDefault="008B7C2C" w:rsidP="004D1DE5">
            <w:pPr>
              <w:tabs>
                <w:tab w:val="left" w:pos="720"/>
                <w:tab w:val="left" w:pos="1440"/>
                <w:tab w:val="left" w:pos="1867"/>
              </w:tabs>
              <w:spacing w:line="360" w:lineRule="auto"/>
            </w:pPr>
            <w:r w:rsidRPr="005D105A">
              <w:t xml:space="preserve">         Module 4: Project Formulation and Appraisal</w:t>
            </w:r>
          </w:p>
          <w:p w:rsidR="008B7C2C" w:rsidRPr="005D105A" w:rsidRDefault="008B7C2C" w:rsidP="004D1DE5">
            <w:pPr>
              <w:tabs>
                <w:tab w:val="left" w:pos="720"/>
                <w:tab w:val="left" w:pos="1440"/>
                <w:tab w:val="left" w:pos="1867"/>
              </w:tabs>
              <w:spacing w:line="360" w:lineRule="auto"/>
            </w:pPr>
            <w:r w:rsidRPr="005D105A">
              <w:lastRenderedPageBreak/>
              <w:t xml:space="preserve">         Module 5: Supervision and Follow-up of Advances</w:t>
            </w:r>
          </w:p>
          <w:p w:rsidR="008B7C2C" w:rsidRPr="005D105A" w:rsidRDefault="008B7C2C" w:rsidP="004D1DE5">
            <w:pPr>
              <w:tabs>
                <w:tab w:val="left" w:pos="720"/>
                <w:tab w:val="left" w:pos="1440"/>
                <w:tab w:val="left" w:pos="1867"/>
              </w:tabs>
              <w:spacing w:line="360" w:lineRule="auto"/>
            </w:pPr>
            <w:r w:rsidRPr="005D105A">
              <w:t xml:space="preserve">        Module 6:  Sick Enterprises</w:t>
            </w:r>
          </w:p>
          <w:p w:rsidR="008B7C2C" w:rsidRPr="004C6BD0" w:rsidRDefault="008B7C2C" w:rsidP="004D1DE5">
            <w:pPr>
              <w:tabs>
                <w:tab w:val="left" w:pos="720"/>
                <w:tab w:val="left" w:pos="1440"/>
                <w:tab w:val="left" w:pos="1867"/>
              </w:tabs>
              <w:spacing w:line="360" w:lineRule="auto"/>
              <w:rPr>
                <w:b/>
                <w:u w:val="single"/>
              </w:rPr>
            </w:pPr>
            <w:r w:rsidRPr="005D105A">
              <w:t xml:space="preserve">         Module 7:  In-Plant training and project work</w:t>
            </w:r>
          </w:p>
        </w:tc>
      </w:tr>
      <w:tr w:rsidR="008B7C2C" w:rsidTr="008B7C2C">
        <w:trPr>
          <w:trHeight w:val="1340"/>
        </w:trPr>
        <w:tc>
          <w:tcPr>
            <w:tcW w:w="4296" w:type="dxa"/>
          </w:tcPr>
          <w:p w:rsidR="008B7C2C" w:rsidRPr="00896D40" w:rsidRDefault="008B7C2C" w:rsidP="004D1DE5">
            <w:pPr>
              <w:spacing w:before="120" w:after="120"/>
              <w:ind w:left="360" w:hanging="360"/>
            </w:pPr>
            <w:r>
              <w:lastRenderedPageBreak/>
              <w:t>H</w:t>
            </w:r>
            <w:r w:rsidRPr="00896D40">
              <w:t xml:space="preserve">.   Mode of Evaluation of </w:t>
            </w:r>
            <w:r>
              <w:t>P</w:t>
            </w:r>
            <w:r w:rsidRPr="00896D40">
              <w:t>erformance of the ITEC Participant</w:t>
            </w:r>
          </w:p>
        </w:tc>
        <w:tc>
          <w:tcPr>
            <w:tcW w:w="5628" w:type="dxa"/>
          </w:tcPr>
          <w:p w:rsidR="008B7C2C" w:rsidRDefault="008B7C2C" w:rsidP="004D1DE5">
            <w:pPr>
              <w:jc w:val="both"/>
            </w:pPr>
            <w:r>
              <w:t xml:space="preserve">Periodical evaluation of the participants through assignments, quizzes, pre &amp; post assessment on </w:t>
            </w:r>
            <w:proofErr w:type="spellStart"/>
            <w:r>
              <w:t>Likert</w:t>
            </w:r>
            <w:proofErr w:type="spellEnd"/>
            <w:r>
              <w:t xml:space="preserve"> Scale. Assessment of application of the knowledge through preparation of Project report.</w:t>
            </w:r>
          </w:p>
        </w:tc>
      </w:tr>
    </w:tbl>
    <w:p w:rsidR="008B7C2C" w:rsidRDefault="008B7C2C" w:rsidP="008B7C2C">
      <w:pPr>
        <w:jc w:val="center"/>
        <w:rPr>
          <w:b/>
          <w:bCs/>
          <w:u w:val="single"/>
        </w:rPr>
      </w:pPr>
    </w:p>
    <w:p w:rsidR="008B7C2C" w:rsidRDefault="008B7C2C" w:rsidP="008B7C2C"/>
    <w:p w:rsidR="008B7C2C" w:rsidRDefault="008B7C2C" w:rsidP="008B7C2C"/>
    <w:p w:rsidR="008B7C2C" w:rsidRDefault="008B7C2C" w:rsidP="008B7C2C"/>
    <w:p w:rsidR="00D105F4" w:rsidRDefault="00D105F4"/>
    <w:sectPr w:rsidR="00D105F4" w:rsidSect="00084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D5B"/>
    <w:multiLevelType w:val="hybridMultilevel"/>
    <w:tmpl w:val="5240D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B94DA1"/>
    <w:multiLevelType w:val="hybridMultilevel"/>
    <w:tmpl w:val="02F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A3175"/>
    <w:multiLevelType w:val="hybridMultilevel"/>
    <w:tmpl w:val="22163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C"/>
    <w:rsid w:val="008B7C2C"/>
    <w:rsid w:val="00D105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C2C"/>
    <w:pPr>
      <w:ind w:left="720"/>
      <w:contextualSpacing/>
    </w:pPr>
  </w:style>
  <w:style w:type="paragraph" w:styleId="NormalWeb">
    <w:name w:val="Normal (Web)"/>
    <w:basedOn w:val="Normal"/>
    <w:uiPriority w:val="99"/>
    <w:unhideWhenUsed/>
    <w:rsid w:val="008B7C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C2C"/>
    <w:pPr>
      <w:ind w:left="720"/>
      <w:contextualSpacing/>
    </w:pPr>
  </w:style>
  <w:style w:type="paragraph" w:styleId="NormalWeb">
    <w:name w:val="Normal (Web)"/>
    <w:basedOn w:val="Normal"/>
    <w:uiPriority w:val="99"/>
    <w:unhideWhenUsed/>
    <w:rsid w:val="008B7C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cp:revision>
  <dcterms:created xsi:type="dcterms:W3CDTF">2022-04-13T11:21:00Z</dcterms:created>
  <dcterms:modified xsi:type="dcterms:W3CDTF">2022-04-13T11:25:00Z</dcterms:modified>
</cp:coreProperties>
</file>